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</w:pPr>
      <w:r>
        <w:t>计算机科学与技术专业2025-2026学年第1学期转专业工作方案</w:t>
      </w:r>
    </w:p>
    <w:p>
      <w:r>
        <w:rPr>
          <w:b/>
        </w:rPr>
        <w:t>一、 工作原则</w:t>
      </w:r>
    </w:p>
    <w:p>
      <w:pPr>
        <w:numPr>
          <w:ilvl w:val="0"/>
          <w:numId w:val="1"/>
        </w:numPr>
      </w:pPr>
      <w:r>
        <w:rPr>
          <w:b/>
        </w:rPr>
        <w:t>公平、公正、公开原则</w:t>
      </w:r>
      <w:r>
        <w:t>：整个考核过程严格遵守学校规定，流程透明，结果可追溯。</w:t>
      </w:r>
    </w:p>
    <w:p>
      <w:pPr>
        <w:numPr>
          <w:ilvl w:val="0"/>
          <w:numId w:val="1"/>
        </w:numPr>
      </w:pPr>
      <w:r>
        <w:rPr>
          <w:b/>
        </w:rPr>
        <w:t>择优录取、宁缺毋滥原则</w:t>
      </w:r>
      <w:r>
        <w:t>：在有限的接收名额内，优先选拔专业基础扎实、逻辑思维清晰、学习动机明确、有发展潜力的学生。</w:t>
      </w:r>
    </w:p>
    <w:p>
      <w:pPr>
        <w:numPr>
          <w:ilvl w:val="0"/>
          <w:numId w:val="1"/>
        </w:numPr>
      </w:pPr>
      <w:r>
        <w:rPr>
          <w:b/>
        </w:rPr>
        <w:t>综合考查、突出重点原则</w:t>
      </w:r>
      <w:r>
        <w:t>：考核不仅关注学业成绩，更着重考查学生的编程能力、问题解决能力、学习兴趣和抗压能力。</w:t>
      </w:r>
    </w:p>
    <w:p>
      <w:pPr>
        <w:ind w:left="336"/>
      </w:pPr>
    </w:p>
    <w:p>
      <w:r>
        <w:rPr>
          <w:b/>
        </w:rPr>
        <w:t>二、 转入名额与控制</w:t>
      </w:r>
    </w:p>
    <w:p>
      <w:pPr>
        <w:numPr>
          <w:ilvl w:val="0"/>
          <w:numId w:val="2"/>
        </w:numPr>
      </w:pPr>
      <w:r>
        <w:rPr>
          <w:b/>
        </w:rPr>
        <w:t>计划转入人数</w:t>
      </w:r>
      <w:r>
        <w:t>：根据</w:t>
      </w:r>
      <w:r>
        <w:rPr>
          <w:rFonts w:hint="eastAsia"/>
        </w:rPr>
        <w:t>计算机科学与技术</w:t>
      </w:r>
      <w:r>
        <w:t>专业资源配置情况</w:t>
      </w:r>
      <w:r>
        <w:rPr>
          <w:rFonts w:hint="eastAsia"/>
        </w:rPr>
        <w:t>，同时鉴于专业建设国家一流专业和参加工程认证的实际情况</w:t>
      </w:r>
      <w:r>
        <w:t>，本学期计算机科学与技术专业</w:t>
      </w:r>
      <w:r>
        <w:rPr>
          <w:b/>
        </w:rPr>
        <w:t>计划接收转入学生上限为10人</w:t>
      </w:r>
      <w:r>
        <w:t>。</w:t>
      </w:r>
    </w:p>
    <w:p>
      <w:pPr>
        <w:numPr>
          <w:ilvl w:val="0"/>
          <w:numId w:val="2"/>
        </w:numPr>
      </w:pPr>
      <w:r>
        <w:rPr>
          <w:b/>
        </w:rPr>
        <w:t>降级要求</w:t>
      </w:r>
      <w:r>
        <w:t>：考虑到课程衔接的难度，所有申请转入计算机科学与技术专业的2024级学生，</w:t>
      </w:r>
      <w:r>
        <w:rPr>
          <w:b/>
        </w:rPr>
        <w:t>原则上要求降级至2025级学习</w:t>
      </w:r>
      <w:r>
        <w:t>，以确保有充足时间打牢基础。</w:t>
      </w:r>
    </w:p>
    <w:p>
      <w:pPr>
        <w:ind w:left="336"/>
      </w:pPr>
    </w:p>
    <w:p>
      <w:pPr>
        <w:rPr>
          <w:b/>
        </w:rPr>
      </w:pPr>
      <w:r>
        <w:rPr>
          <w:b/>
        </w:rPr>
        <w:t>三、 考核方式与成绩构成</w:t>
      </w:r>
    </w:p>
    <w:p>
      <w:r>
        <w:t>根据《</w:t>
      </w:r>
      <w:r>
        <w:rPr>
          <w:rFonts w:hint="eastAsia"/>
        </w:rPr>
        <w:t>丽水学院转专业</w:t>
      </w:r>
      <w:r>
        <w:t>管理办法》，转专业考核成绩构成如下：</w:t>
      </w:r>
    </w:p>
    <w:p>
      <w:pPr>
        <w:numPr>
          <w:ilvl w:val="0"/>
          <w:numId w:val="0"/>
        </w:numPr>
        <w:ind w:leftChars="0" w:firstLine="440" w:firstLineChars="200"/>
        <w:rPr>
          <w:rFonts w:hint="default"/>
        </w:rPr>
      </w:pPr>
      <w:r>
        <w:rPr>
          <w:rFonts w:hint="default"/>
          <w:lang w:val="en-US" w:eastAsia="zh-CN"/>
        </w:rPr>
        <w:t>第一学期考核成绩构成：高考成绩占60%，第一学期平均学分绩点占20%，面试等其他环节成绩占20%。第二、第三、第四学期考核成绩构成：上一学期和本学期的平均学分绩点占80%，面试等其他环节成绩占20%。</w:t>
      </w:r>
    </w:p>
    <w:p>
      <w:r>
        <w:rPr>
          <w:b/>
        </w:rPr>
        <w:t>四、 面试环节设计与实施</w:t>
      </w:r>
    </w:p>
    <w:p>
      <w:pPr>
        <w:numPr>
          <w:ilvl w:val="0"/>
          <w:numId w:val="0"/>
        </w:numPr>
        <w:ind w:leftChars="0" w:firstLine="440" w:firstLineChars="200"/>
      </w:pPr>
      <w:r>
        <w:rPr>
          <w:b/>
        </w:rPr>
        <w:t>面试形式</w:t>
      </w:r>
      <w:r>
        <w:t>：采用“</w:t>
      </w:r>
      <w:r>
        <w:rPr>
          <w:b/>
        </w:rPr>
        <w:t>专业</w:t>
      </w:r>
      <w:r>
        <w:rPr>
          <w:rFonts w:hint="eastAsia"/>
          <w:b/>
        </w:rPr>
        <w:t>基础测</w:t>
      </w:r>
      <w:r>
        <w:rPr>
          <w:b/>
        </w:rPr>
        <w:t>试 + 个人综合面试</w:t>
      </w:r>
      <w:r>
        <w:t>”相结合的形式。</w:t>
      </w:r>
    </w:p>
    <w:p>
      <w:pPr>
        <w:numPr>
          <w:ilvl w:val="0"/>
          <w:numId w:val="3"/>
        </w:numPr>
      </w:pPr>
      <w:r>
        <w:rPr>
          <w:b/>
        </w:rPr>
        <w:t>专业</w:t>
      </w:r>
      <w:r>
        <w:rPr>
          <w:rFonts w:hint="eastAsia"/>
          <w:b/>
        </w:rPr>
        <w:t>基础测</w:t>
      </w:r>
      <w:r>
        <w:rPr>
          <w:b/>
        </w:rPr>
        <w:t>试（前置环节）</w:t>
      </w:r>
      <w:r>
        <w:t>：</w:t>
      </w:r>
    </w:p>
    <w:p>
      <w:pPr>
        <w:numPr>
          <w:ilvl w:val="1"/>
          <w:numId w:val="3"/>
        </w:numPr>
      </w:pPr>
      <w:r>
        <w:rPr>
          <w:b/>
        </w:rPr>
        <w:t>内容</w:t>
      </w:r>
      <w:r>
        <w:t>：侧重于C语言程序设计</w:t>
      </w:r>
      <w:r>
        <w:rPr>
          <w:rFonts w:hint="eastAsia"/>
        </w:rPr>
        <w:t>的</w:t>
      </w:r>
      <w:r>
        <w:t>基本算法和简单编程题</w:t>
      </w:r>
      <w:r>
        <w:rPr>
          <w:rFonts w:hint="eastAsia"/>
        </w:rPr>
        <w:t>，采用“拼题A”（PTA，</w:t>
      </w:r>
      <w:r>
        <w:t>https://pintia.cn/</w:t>
      </w:r>
      <w:r>
        <w:rPr>
          <w:rFonts w:hint="eastAsia"/>
        </w:rPr>
        <w:t>）系统进行测试</w:t>
      </w:r>
      <w:r>
        <w:t>。</w:t>
      </w:r>
    </w:p>
    <w:p>
      <w:pPr>
        <w:numPr>
          <w:ilvl w:val="1"/>
          <w:numId w:val="3"/>
        </w:numPr>
      </w:pPr>
      <w:r>
        <w:rPr>
          <w:b/>
        </w:rPr>
        <w:t>目的</w:t>
      </w:r>
      <w:r>
        <w:t>：客观量化评估学生的专业基础，淘汰完全零基础或基础极其薄弱者。</w:t>
      </w:r>
    </w:p>
    <w:p>
      <w:pPr>
        <w:numPr>
          <w:ilvl w:val="1"/>
          <w:numId w:val="3"/>
        </w:numPr>
      </w:pPr>
      <w:r>
        <w:rPr>
          <w:b/>
        </w:rPr>
        <w:t>规则</w:t>
      </w:r>
      <w:r>
        <w:t>：</w:t>
      </w:r>
      <w:r>
        <w:rPr>
          <w:rFonts w:hint="eastAsia"/>
        </w:rPr>
        <w:t>专业基础测试</w:t>
      </w:r>
      <w:r>
        <w:t>成绩不计入总分，但</w:t>
      </w:r>
      <w:r>
        <w:rPr>
          <w:b/>
        </w:rPr>
        <w:t>设定合格线。</w:t>
      </w:r>
      <w:r>
        <w:rPr>
          <w:rFonts w:hint="eastAsia"/>
          <w:b/>
        </w:rPr>
        <w:t>测</w:t>
      </w:r>
      <w:r>
        <w:rPr>
          <w:b/>
        </w:rPr>
        <w:t>试不合格者，直接淘汰，无资格进入后续综合面试。</w:t>
      </w:r>
    </w:p>
    <w:p>
      <w:pPr>
        <w:numPr>
          <w:ilvl w:val="0"/>
          <w:numId w:val="3"/>
        </w:numPr>
      </w:pPr>
      <w:r>
        <w:rPr>
          <w:b/>
        </w:rPr>
        <w:t>个人综合面试</w:t>
      </w:r>
      <w:r>
        <w:t>：</w:t>
      </w:r>
    </w:p>
    <w:p>
      <w:pPr>
        <w:numPr>
          <w:ilvl w:val="1"/>
          <w:numId w:val="3"/>
        </w:numPr>
      </w:pPr>
      <w:r>
        <w:rPr>
          <w:b/>
        </w:rPr>
        <w:t>时长</w:t>
      </w:r>
      <w:r>
        <w:t>：每人约15分钟。</w:t>
      </w:r>
    </w:p>
    <w:p>
      <w:pPr>
        <w:numPr>
          <w:ilvl w:val="1"/>
          <w:numId w:val="3"/>
        </w:numPr>
      </w:pPr>
      <w:r>
        <w:rPr>
          <w:b/>
        </w:rPr>
        <w:t>面试</w:t>
      </w:r>
      <w:r>
        <w:rPr>
          <w:rFonts w:hint="eastAsia"/>
          <w:b/>
        </w:rPr>
        <w:t>教师</w:t>
      </w:r>
      <w:r>
        <w:t>：由专业负责人、</w:t>
      </w:r>
      <w:r>
        <w:rPr>
          <w:rFonts w:hint="eastAsia"/>
        </w:rPr>
        <w:t>教研室主任等</w:t>
      </w:r>
      <w:r>
        <w:t>骨干教师组成面试小组。</w:t>
      </w:r>
    </w:p>
    <w:p>
      <w:pPr>
        <w:numPr>
          <w:ilvl w:val="1"/>
          <w:numId w:val="3"/>
        </w:numPr>
      </w:pPr>
      <w:r>
        <w:rPr>
          <w:b/>
        </w:rPr>
        <w:t>流程与内容</w:t>
      </w:r>
      <w:r>
        <w:t>：</w:t>
      </w:r>
    </w:p>
    <w:p>
      <w:pPr>
        <w:numPr>
          <w:ilvl w:val="2"/>
          <w:numId w:val="3"/>
        </w:numPr>
      </w:pPr>
      <w:r>
        <w:rPr>
          <w:b/>
        </w:rPr>
        <w:t>自我陈述（2分钟）</w:t>
      </w:r>
      <w:r>
        <w:t>：学生介绍个人情况、转专业动机、对计算机</w:t>
      </w:r>
      <w:r>
        <w:rPr>
          <w:rFonts w:hint="eastAsia"/>
        </w:rPr>
        <w:t>科学与技术</w:t>
      </w:r>
      <w:r>
        <w:t>专业的理解及未来学习规划。</w:t>
      </w:r>
      <w:bookmarkStart w:id="0" w:name="_GoBack"/>
      <w:bookmarkEnd w:id="0"/>
    </w:p>
    <w:p>
      <w:pPr>
        <w:numPr>
          <w:ilvl w:val="2"/>
          <w:numId w:val="3"/>
        </w:numPr>
      </w:pPr>
      <w:r>
        <w:rPr>
          <w:b/>
        </w:rPr>
        <w:t>专业知识问答（5分钟）</w:t>
      </w:r>
      <w:r>
        <w:t>：基于</w:t>
      </w:r>
      <w:r>
        <w:rPr>
          <w:rFonts w:hint="eastAsia"/>
        </w:rPr>
        <w:t>专业基础测试</w:t>
      </w:r>
      <w:r>
        <w:t>情况或准备的问题，考查学生对核心概念的理解深度。</w:t>
      </w:r>
    </w:p>
    <w:p>
      <w:pPr>
        <w:numPr>
          <w:ilvl w:val="2"/>
          <w:numId w:val="3"/>
        </w:numPr>
      </w:pPr>
      <w:r>
        <w:rPr>
          <w:b/>
        </w:rPr>
        <w:t>逻辑思维与问题解决（5分钟）</w:t>
      </w:r>
      <w:r>
        <w:t>：提供一道简单的逻辑题或场景题，考查学生分析问题、解决问题的能力。</w:t>
      </w:r>
    </w:p>
    <w:p>
      <w:pPr>
        <w:numPr>
          <w:ilvl w:val="2"/>
          <w:numId w:val="3"/>
        </w:numPr>
      </w:pPr>
      <w:r>
        <w:rPr>
          <w:b/>
        </w:rPr>
        <w:t>学习态度与主动性评估（3分钟）</w:t>
      </w:r>
      <w:r>
        <w:t>：提问了解学生课外自主学习情况（如是否阅读技术书籍、完成个人项目、参加竞赛等）、面对困难的应对方式及对学业预警风险的认识。</w:t>
      </w:r>
    </w:p>
    <w:p>
      <w:pPr>
        <w:ind w:left="1656"/>
      </w:pPr>
    </w:p>
    <w:p>
      <w:r>
        <w:rPr>
          <w:b/>
        </w:rPr>
        <w:t>五、 录取规则</w:t>
      </w:r>
    </w:p>
    <w:p>
      <w:pPr>
        <w:numPr>
          <w:ilvl w:val="0"/>
          <w:numId w:val="4"/>
        </w:numPr>
      </w:pPr>
      <w:r>
        <w:rPr>
          <w:b/>
          <w:bCs/>
        </w:rPr>
        <w:t>通过</w:t>
      </w:r>
      <w:r>
        <w:rPr>
          <w:rFonts w:hint="eastAsia"/>
          <w:b/>
          <w:bCs/>
        </w:rPr>
        <w:t>专业基础测试</w:t>
      </w:r>
      <w:r>
        <w:rPr>
          <w:b/>
          <w:bCs/>
        </w:rPr>
        <w:t>合格线的学生，方可计算</w:t>
      </w:r>
      <w:r>
        <w:rPr>
          <w:rFonts w:hint="eastAsia"/>
          <w:b/>
          <w:bCs/>
        </w:rPr>
        <w:t>考核</w:t>
      </w:r>
      <w:r>
        <w:rPr>
          <w:b/>
          <w:bCs/>
        </w:rPr>
        <w:t>总成绩</w:t>
      </w:r>
      <w:r>
        <w:t>。</w:t>
      </w:r>
    </w:p>
    <w:p>
      <w:pPr>
        <w:numPr>
          <w:ilvl w:val="0"/>
          <w:numId w:val="4"/>
        </w:numPr>
      </w:pPr>
      <w:r>
        <w:t>面试成绩</w:t>
      </w:r>
      <w:r>
        <w:rPr>
          <w:b/>
        </w:rPr>
        <w:t>必须达到70分及以上</w:t>
      </w:r>
      <w:r>
        <w:t>的合格线，否则直接淘汰，不计</w:t>
      </w:r>
      <w:r>
        <w:rPr>
          <w:rFonts w:hint="eastAsia"/>
        </w:rPr>
        <w:t>考核</w:t>
      </w:r>
      <w:r>
        <w:t>总成绩排名。</w:t>
      </w:r>
    </w:p>
    <w:p>
      <w:pPr>
        <w:numPr>
          <w:ilvl w:val="0"/>
          <w:numId w:val="4"/>
        </w:numPr>
      </w:pPr>
      <w:r>
        <w:t xml:space="preserve">在面试合格的学生中，按 </w:t>
      </w:r>
      <w:r>
        <w:rPr>
          <w:b/>
        </w:rPr>
        <w:t>“考核总成绩”</w:t>
      </w:r>
      <w:r>
        <w:t xml:space="preserve"> 从高到低排序，根据计划转入名额择优确定拟录取名单。</w:t>
      </w:r>
    </w:p>
    <w:p>
      <w:pPr>
        <w:numPr>
          <w:ilvl w:val="0"/>
          <w:numId w:val="4"/>
        </w:numPr>
      </w:pPr>
      <w:r>
        <w:t>若最后一名出现总成绩同分，则</w:t>
      </w:r>
      <w:r>
        <w:rPr>
          <w:b/>
        </w:rPr>
        <w:t>优先比较面试成绩，面试成绩高者优先</w:t>
      </w:r>
      <w:r>
        <w:t>。</w:t>
      </w:r>
    </w:p>
    <w:p>
      <w:pPr>
        <w:ind w:left="336"/>
        <w:rPr>
          <w:rFonts w:hint="eastAsia"/>
        </w:rPr>
      </w:pPr>
    </w:p>
    <w:sectPr>
      <w:pgSz w:w="11906" w:h="16838"/>
      <w:pgMar w:top="1440" w:right="1797" w:bottom="1440" w:left="1797" w:header="851" w:footer="992" w:gutter="0"/>
      <w:cols w:space="0" w:num="1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onaco">
    <w:altName w:val="Courier New"/>
    <w:panose1 w:val="00000000000000000000"/>
    <w:charset w:val="00"/>
    <w:family w:val="auto"/>
    <w:pitch w:val="default"/>
    <w:sig w:usb0="00000000" w:usb1="00000000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73879"/>
    <w:multiLevelType w:val="multilevel"/>
    <w:tmpl w:val="00F73879"/>
    <w:lvl w:ilvl="0" w:tentative="0">
      <w:start w:val="1"/>
      <w:numFmt w:val="bullet"/>
      <w:lvlText w:val=""/>
      <w:lvlJc w:val="left"/>
      <w:pPr>
        <w:ind w:left="776" w:hanging="336"/>
      </w:pPr>
      <w:rPr>
        <w:rFonts w:hint="default" w:ascii="Wingdings" w:hAnsi="Wingdings" w:cs="Wingdings"/>
      </w:rPr>
    </w:lvl>
    <w:lvl w:ilvl="1" w:tentative="0">
      <w:start w:val="1"/>
      <w:numFmt w:val="bullet"/>
      <w:lvlText w:val="¡"/>
      <w:lvlJc w:val="left"/>
      <w:pPr>
        <w:ind w:left="1216" w:hanging="336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"/>
      <w:lvlJc w:val="left"/>
      <w:pPr>
        <w:ind w:left="1656" w:hanging="336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096" w:hanging="336"/>
      </w:pPr>
      <w:rPr>
        <w:rFonts w:hint="default" w:ascii="Wingdings" w:hAnsi="Wingdings" w:cs="Wingdings"/>
      </w:rPr>
    </w:lvl>
    <w:lvl w:ilvl="4" w:tentative="0">
      <w:start w:val="1"/>
      <w:numFmt w:val="bullet"/>
      <w:lvlText w:val="¡"/>
      <w:lvlJc w:val="left"/>
      <w:pPr>
        <w:ind w:left="2536" w:hanging="336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"/>
      <w:lvlJc w:val="left"/>
      <w:pPr>
        <w:ind w:left="2976" w:hanging="336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416" w:hanging="336"/>
      </w:pPr>
      <w:rPr>
        <w:rFonts w:hint="default" w:ascii="Wingdings" w:hAnsi="Wingdings" w:cs="Wingdings"/>
      </w:rPr>
    </w:lvl>
    <w:lvl w:ilvl="7" w:tentative="0">
      <w:start w:val="1"/>
      <w:numFmt w:val="bullet"/>
      <w:lvlText w:val="¡"/>
      <w:lvlJc w:val="left"/>
      <w:pPr>
        <w:ind w:left="3856" w:hanging="336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"/>
      <w:lvlJc w:val="left"/>
      <w:pPr>
        <w:ind w:left="4296" w:hanging="336"/>
      </w:pPr>
      <w:rPr>
        <w:rFonts w:hint="default" w:ascii="Wingdings" w:hAnsi="Wingdings" w:cs="Wingdings"/>
      </w:rPr>
    </w:lvl>
  </w:abstractNum>
  <w:abstractNum w:abstractNumId="1">
    <w:nsid w:val="201033ED"/>
    <w:multiLevelType w:val="multilevel"/>
    <w:tmpl w:val="201033ED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2">
    <w:nsid w:val="4CF05D99"/>
    <w:multiLevelType w:val="multilevel"/>
    <w:tmpl w:val="4CF05D99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abstractNum w:abstractNumId="3">
    <w:nsid w:val="4EAC593E"/>
    <w:multiLevelType w:val="multilevel"/>
    <w:tmpl w:val="4EAC593E"/>
    <w:lvl w:ilvl="0" w:tentative="0">
      <w:start w:val="1"/>
      <w:numFmt w:val="decimal"/>
      <w:lvlText w:val="%1."/>
      <w:lvlJc w:val="left"/>
      <w:pPr>
        <w:ind w:left="336" w:hanging="336"/>
      </w:pPr>
    </w:lvl>
    <w:lvl w:ilvl="1" w:tentative="0">
      <w:start w:val="1"/>
      <w:numFmt w:val="lowerLetter"/>
      <w:lvlText w:val="%2."/>
      <w:lvlJc w:val="left"/>
      <w:pPr>
        <w:ind w:left="776" w:hanging="336"/>
      </w:pPr>
    </w:lvl>
    <w:lvl w:ilvl="2" w:tentative="0">
      <w:start w:val="1"/>
      <w:numFmt w:val="lowerRoman"/>
      <w:lvlText w:val="%3."/>
      <w:lvlJc w:val="left"/>
      <w:pPr>
        <w:ind w:left="1216" w:hanging="336"/>
      </w:pPr>
    </w:lvl>
    <w:lvl w:ilvl="3" w:tentative="0">
      <w:start w:val="1"/>
      <w:numFmt w:val="decimal"/>
      <w:lvlText w:val="%4."/>
      <w:lvlJc w:val="left"/>
      <w:pPr>
        <w:ind w:left="1656" w:hanging="336"/>
      </w:pPr>
    </w:lvl>
    <w:lvl w:ilvl="4" w:tentative="0">
      <w:start w:val="1"/>
      <w:numFmt w:val="lowerLetter"/>
      <w:lvlText w:val="%5."/>
      <w:lvlJc w:val="left"/>
      <w:pPr>
        <w:ind w:left="2096" w:hanging="336"/>
      </w:pPr>
    </w:lvl>
    <w:lvl w:ilvl="5" w:tentative="0">
      <w:start w:val="1"/>
      <w:numFmt w:val="lowerRoman"/>
      <w:lvlText w:val="%6."/>
      <w:lvlJc w:val="left"/>
      <w:pPr>
        <w:ind w:left="2536" w:hanging="336"/>
      </w:pPr>
    </w:lvl>
    <w:lvl w:ilvl="6" w:tentative="0">
      <w:start w:val="1"/>
      <w:numFmt w:val="decimal"/>
      <w:lvlText w:val="%7."/>
      <w:lvlJc w:val="left"/>
      <w:pPr>
        <w:ind w:left="2976" w:hanging="336"/>
      </w:pPr>
    </w:lvl>
    <w:lvl w:ilvl="7" w:tentative="0">
      <w:start w:val="1"/>
      <w:numFmt w:val="lowerLetter"/>
      <w:lvlText w:val="%8."/>
      <w:lvlJc w:val="left"/>
      <w:pPr>
        <w:ind w:left="3416" w:hanging="336"/>
      </w:pPr>
    </w:lvl>
    <w:lvl w:ilvl="8" w:tentative="0">
      <w:start w:val="1"/>
      <w:numFmt w:val="lowerRoman"/>
      <w:lvlText w:val="%9."/>
      <w:lvlJc w:val="left"/>
      <w:pPr>
        <w:ind w:left="3856" w:hanging="336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10"/>
  <w:drawingGridVerticalSpacing w:val="38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24D9F"/>
    <w:rsid w:val="00053B28"/>
    <w:rsid w:val="000B62CA"/>
    <w:rsid w:val="00124A8D"/>
    <w:rsid w:val="00174268"/>
    <w:rsid w:val="001C28EA"/>
    <w:rsid w:val="001E39FB"/>
    <w:rsid w:val="0021308C"/>
    <w:rsid w:val="002341C0"/>
    <w:rsid w:val="002A53AA"/>
    <w:rsid w:val="002C7060"/>
    <w:rsid w:val="0039154B"/>
    <w:rsid w:val="0044490F"/>
    <w:rsid w:val="005C206D"/>
    <w:rsid w:val="005C35DE"/>
    <w:rsid w:val="005E4210"/>
    <w:rsid w:val="00626AA2"/>
    <w:rsid w:val="0068574D"/>
    <w:rsid w:val="006E696F"/>
    <w:rsid w:val="0071681D"/>
    <w:rsid w:val="007C7A70"/>
    <w:rsid w:val="00890FE1"/>
    <w:rsid w:val="008D6CF9"/>
    <w:rsid w:val="0090731C"/>
    <w:rsid w:val="00963452"/>
    <w:rsid w:val="009E7FC9"/>
    <w:rsid w:val="00A85D95"/>
    <w:rsid w:val="00AB1D25"/>
    <w:rsid w:val="00AD3D80"/>
    <w:rsid w:val="00AE6A10"/>
    <w:rsid w:val="00B727BA"/>
    <w:rsid w:val="00BB7EBC"/>
    <w:rsid w:val="00BE0D57"/>
    <w:rsid w:val="00CA1379"/>
    <w:rsid w:val="00D02954"/>
    <w:rsid w:val="00D614F4"/>
    <w:rsid w:val="00D737A0"/>
    <w:rsid w:val="00E40A2D"/>
    <w:rsid w:val="00F50C8B"/>
    <w:rsid w:val="00F73E07"/>
    <w:rsid w:val="07011CC2"/>
    <w:rsid w:val="07644792"/>
    <w:rsid w:val="09284798"/>
    <w:rsid w:val="0F2B6FD9"/>
    <w:rsid w:val="16076CF3"/>
    <w:rsid w:val="183C240D"/>
    <w:rsid w:val="1AA24D9F"/>
    <w:rsid w:val="27C7188F"/>
    <w:rsid w:val="27FBD2E2"/>
    <w:rsid w:val="28DA2E89"/>
    <w:rsid w:val="2A4254F9"/>
    <w:rsid w:val="2D1F32F4"/>
    <w:rsid w:val="323B4D81"/>
    <w:rsid w:val="34B70380"/>
    <w:rsid w:val="3AE174A3"/>
    <w:rsid w:val="3C182339"/>
    <w:rsid w:val="43446334"/>
    <w:rsid w:val="44A84E71"/>
    <w:rsid w:val="477DCE1E"/>
    <w:rsid w:val="52FB3003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BFFBDBCA"/>
    <w:rsid w:val="D5DE8897"/>
    <w:rsid w:val="E7FE3684"/>
    <w:rsid w:val="E95E2A0D"/>
    <w:rsid w:val="EFFF70E4"/>
    <w:rsid w:val="F7EEC240"/>
    <w:rsid w:val="FBF75102"/>
    <w:rsid w:val="FDDC5620"/>
    <w:rsid w:val="FDEA700A"/>
    <w:rsid w:val="FFBFCE42"/>
    <w:rsid w:val="FFFF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nhideWhenUsed="0" w:uiPriority="99" w:semiHidden="0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60"/>
      <w:jc w:val="both"/>
    </w:pPr>
    <w:rPr>
      <w:rFonts w:ascii="Arial" w:hAnsi="Arial" w:eastAsia="微软雅黑" w:cs="Arial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36"/>
    </w:rPr>
  </w:style>
  <w:style w:type="paragraph" w:styleId="3">
    <w:name w:val="heading 2"/>
    <w:basedOn w:val="1"/>
    <w:next w:val="1"/>
    <w:qFormat/>
    <w:uiPriority w:val="0"/>
    <w:pPr>
      <w:keepNext/>
      <w:keepLines/>
      <w:outlineLvl w:val="1"/>
    </w:pPr>
    <w:rPr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outlineLvl w:val="3"/>
    </w:pPr>
    <w:rPr>
      <w:b/>
      <w:sz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line="480" w:lineRule="auto"/>
      <w:outlineLvl w:val="4"/>
    </w:pPr>
    <w:rPr>
      <w:b/>
    </w:rPr>
  </w:style>
  <w:style w:type="paragraph" w:styleId="7">
    <w:name w:val="heading 6"/>
    <w:basedOn w:val="1"/>
    <w:next w:val="1"/>
    <w:qFormat/>
    <w:uiPriority w:val="0"/>
    <w:pPr>
      <w:keepNext/>
      <w:keepLines/>
      <w:spacing w:line="480" w:lineRule="auto"/>
      <w:outlineLvl w:val="5"/>
    </w:pPr>
    <w:rPr>
      <w:b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line="480" w:lineRule="auto"/>
      <w:outlineLvl w:val="6"/>
    </w:pPr>
    <w:rPr>
      <w:b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line="480" w:lineRule="auto"/>
      <w:outlineLvl w:val="7"/>
    </w:pPr>
    <w:rPr>
      <w:b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line="480" w:lineRule="auto"/>
      <w:outlineLvl w:val="8"/>
    </w:pPr>
    <w:rPr>
      <w:b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29"/>
    <w:uiPriority w:val="0"/>
    <w:pPr>
      <w:jc w:val="left"/>
    </w:pPr>
  </w:style>
  <w:style w:type="paragraph" w:styleId="12">
    <w:name w:val="toc 8"/>
    <w:basedOn w:val="1"/>
    <w:next w:val="1"/>
    <w:uiPriority w:val="99"/>
    <w:pPr>
      <w:ind w:left="2940" w:leftChars="1400"/>
    </w:pPr>
  </w:style>
  <w:style w:type="paragraph" w:styleId="13">
    <w:name w:val="Balloon Text"/>
    <w:basedOn w:val="1"/>
    <w:link w:val="31"/>
    <w:uiPriority w:val="0"/>
    <w:pPr>
      <w:spacing w:before="0" w:after="0"/>
    </w:pPr>
    <w:rPr>
      <w:sz w:val="18"/>
      <w:szCs w:val="18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Subtitle"/>
    <w:basedOn w:val="1"/>
    <w:next w:val="1"/>
    <w:link w:val="27"/>
    <w:qFormat/>
    <w:uiPriority w:val="0"/>
    <w:pPr>
      <w:jc w:val="center"/>
      <w:outlineLvl w:val="1"/>
    </w:pPr>
    <w:rPr>
      <w:rFonts w:cstheme="minorBidi"/>
      <w:b/>
      <w:bCs/>
      <w:kern w:val="28"/>
      <w:sz w:val="44"/>
      <w:szCs w:val="32"/>
    </w:rPr>
  </w:style>
  <w:style w:type="paragraph" w:styleId="17">
    <w:name w:val="Title"/>
    <w:basedOn w:val="1"/>
    <w:next w:val="1"/>
    <w:link w:val="28"/>
    <w:qFormat/>
    <w:uiPriority w:val="0"/>
    <w:pPr>
      <w:jc w:val="center"/>
      <w:outlineLvl w:val="0"/>
    </w:pPr>
    <w:rPr>
      <w:rFonts w:cstheme="majorBidi"/>
      <w:b/>
      <w:bCs/>
      <w:sz w:val="48"/>
      <w:szCs w:val="32"/>
    </w:rPr>
  </w:style>
  <w:style w:type="paragraph" w:styleId="18">
    <w:name w:val="annotation subject"/>
    <w:basedOn w:val="11"/>
    <w:next w:val="11"/>
    <w:link w:val="30"/>
    <w:uiPriority w:val="0"/>
    <w:rPr>
      <w:b/>
      <w:bCs/>
    </w:rPr>
  </w:style>
  <w:style w:type="table" w:styleId="20">
    <w:name w:val="Table Grid"/>
    <w:basedOn w:val="19"/>
    <w:uiPriority w:val="0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  <w:tblLayout w:type="fixed"/>
    </w:tblPr>
    <w:tcPr>
      <w:vAlign w:val="center"/>
    </w:tcPr>
  </w:style>
  <w:style w:type="character" w:styleId="22">
    <w:name w:val="Hyperlink"/>
    <w:basedOn w:val="21"/>
    <w:uiPriority w:val="0"/>
    <w:rPr>
      <w:color w:val="1E6FFF"/>
      <w:u w:val="single"/>
    </w:rPr>
  </w:style>
  <w:style w:type="character" w:styleId="23">
    <w:name w:val="annotation reference"/>
    <w:basedOn w:val="21"/>
    <w:uiPriority w:val="0"/>
    <w:rPr>
      <w:sz w:val="21"/>
      <w:szCs w:val="21"/>
    </w:rPr>
  </w:style>
  <w:style w:type="character" w:customStyle="1" w:styleId="24">
    <w:name w:val="melo-codeblock-Base-theme-char"/>
    <w:uiPriority w:val="99"/>
    <w:rPr>
      <w:rFonts w:ascii="Monaco" w:hAnsi="Monaco" w:eastAsia="Monaco" w:cs="Monaco"/>
      <w:color w:val="000000"/>
      <w:sz w:val="21"/>
    </w:rPr>
  </w:style>
  <w:style w:type="paragraph" w:customStyle="1" w:styleId="25">
    <w:name w:val="melo-codeblock-Base-theme-para"/>
    <w:uiPriority w:val="99"/>
    <w:pPr>
      <w:snapToGrid w:val="0"/>
      <w:spacing w:line="360" w:lineRule="auto"/>
    </w:pPr>
    <w:rPr>
      <w:rFonts w:ascii="Monaco" w:hAnsi="Monaco" w:eastAsia="Monaco" w:cs="Monaco"/>
      <w:color w:val="000000"/>
      <w:sz w:val="21"/>
      <w:lang w:val="en-US" w:eastAsia="zh-CN" w:bidi="ar-SA"/>
    </w:rPr>
  </w:style>
  <w:style w:type="table" w:customStyle="1" w:styleId="26">
    <w:name w:val="Doc Table Column 1st"/>
    <w:basedOn w:val="20"/>
    <w:qFormat/>
    <w:uiPriority w:val="50"/>
    <w:tblStylePr w:type="firstRow">
      <w:tcPr>
        <w:shd w:val="clear" w:color="auto" w:fill="F3F5F7"/>
      </w:tcPr>
    </w:tblStylePr>
    <w:tblStylePr w:type="firstCol">
      <w:tcPr>
        <w:shd w:val="clear" w:color="auto" w:fill="F3F5F7"/>
      </w:tcPr>
    </w:tblStylePr>
  </w:style>
  <w:style w:type="character" w:customStyle="1" w:styleId="27">
    <w:name w:val="副标题 字符"/>
    <w:basedOn w:val="21"/>
    <w:link w:val="16"/>
    <w:uiPriority w:val="0"/>
    <w:rPr>
      <w:rFonts w:ascii="Arial" w:hAnsi="Arial" w:eastAsia="微软雅黑" w:cstheme="minorBidi"/>
      <w:b/>
      <w:bCs/>
      <w:kern w:val="28"/>
      <w:sz w:val="44"/>
      <w:szCs w:val="32"/>
    </w:rPr>
  </w:style>
  <w:style w:type="character" w:customStyle="1" w:styleId="28">
    <w:name w:val="标题 字符"/>
    <w:basedOn w:val="21"/>
    <w:link w:val="17"/>
    <w:uiPriority w:val="0"/>
    <w:rPr>
      <w:rFonts w:ascii="Arial" w:hAnsi="Arial" w:eastAsia="微软雅黑" w:cstheme="majorBidi"/>
      <w:b/>
      <w:bCs/>
      <w:kern w:val="2"/>
      <w:sz w:val="48"/>
      <w:szCs w:val="32"/>
    </w:rPr>
  </w:style>
  <w:style w:type="character" w:customStyle="1" w:styleId="29">
    <w:name w:val="批注文字 字符"/>
    <w:basedOn w:val="21"/>
    <w:link w:val="11"/>
    <w:qFormat/>
    <w:uiPriority w:val="0"/>
    <w:rPr>
      <w:color w:val="333333"/>
      <w:kern w:val="2"/>
      <w:sz w:val="22"/>
      <w:szCs w:val="24"/>
    </w:rPr>
  </w:style>
  <w:style w:type="character" w:customStyle="1" w:styleId="30">
    <w:name w:val="批注主题 字符"/>
    <w:basedOn w:val="29"/>
    <w:link w:val="18"/>
    <w:qFormat/>
    <w:uiPriority w:val="0"/>
    <w:rPr>
      <w:b/>
      <w:bCs/>
      <w:color w:val="333333"/>
      <w:kern w:val="2"/>
      <w:sz w:val="22"/>
      <w:szCs w:val="24"/>
    </w:rPr>
  </w:style>
  <w:style w:type="character" w:customStyle="1" w:styleId="31">
    <w:name w:val="批注框文本 字符"/>
    <w:basedOn w:val="21"/>
    <w:link w:val="13"/>
    <w:qFormat/>
    <w:uiPriority w:val="0"/>
    <w:rPr>
      <w:color w:val="333333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1E6FFF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微软雅黑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微软雅黑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349</Words>
  <Characters>1994</Characters>
  <Lines>16</Lines>
  <Paragraphs>4</Paragraphs>
  <TotalTime>2</TotalTime>
  <ScaleCrop>false</ScaleCrop>
  <LinksUpToDate>false</LinksUpToDate>
  <CharactersWithSpaces>2339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2025-12-03T11:16:00Z</dcterms:created>
  <dc:creator>Huaizhong</dc:creator>
  <cp:lastModifiedBy>马亚平</cp:lastModifiedBy>
  <dcterms:modified xsi:type="dcterms:W3CDTF">2025-12-24T06:44:21Z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IGC">
    <vt:lpwstr>{"Label":"1","ContentProducer":"00119144030071526726XG1I0YC","ProduceID":"fe698cd4-b84f-4723-9bd6-6cce350941b2_MToyOjI=","ReservedCode1":"j3kCy2IPOZKCDgJdJimirLnAow2OIEsJBfw+wonNDCsHib9zd+OX0mhf0Rc+NbCDorfc2qJI6jBsz93OhHXrLqu6/gssIehX95MrgbJYzqko6tmRbZSwT</vt:lpwstr>
  </property>
  <property fmtid="{D5CDD505-2E9C-101B-9397-08002B2CF9AE}" pid="3" name="KSOProductBuildVer">
    <vt:lpwstr>2052-11.8.2.8506</vt:lpwstr>
  </property>
</Properties>
</file>