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DA3D95">
      <w:pPr>
        <w:pStyle w:val="2"/>
        <w:ind w:firstLine="600"/>
        <w:jc w:val="center"/>
        <w:rPr>
          <w:rFonts w:hint="eastAsia" w:ascii="宋体" w:hAnsi="宋体" w:eastAsia="宋体"/>
          <w:b w:val="0"/>
          <w:bCs w:val="0"/>
        </w:rPr>
      </w:pPr>
      <w:bookmarkStart w:id="0" w:name="_Toc432670427"/>
      <w:bookmarkStart w:id="1" w:name="_Toc192709051"/>
      <w:bookmarkStart w:id="2" w:name="_Toc441763635"/>
      <w:r>
        <w:rPr>
          <w:rFonts w:hint="eastAsia" w:ascii="宋体" w:hAnsi="宋体" w:eastAsia="宋体"/>
          <w:b w:val="0"/>
          <w:bCs w:val="0"/>
        </w:rPr>
        <w:t xml:space="preserve">六  </w:t>
      </w:r>
      <w:bookmarkEnd w:id="0"/>
      <w:r>
        <w:rPr>
          <w:rFonts w:hint="eastAsia" w:ascii="宋体" w:hAnsi="宋体" w:eastAsia="宋体"/>
          <w:b w:val="0"/>
          <w:bCs w:val="0"/>
        </w:rPr>
        <w:t>成交人公告内容</w:t>
      </w:r>
      <w:bookmarkEnd w:id="1"/>
      <w:bookmarkEnd w:id="2"/>
    </w:p>
    <w:p w14:paraId="3E262780">
      <w:pPr>
        <w:spacing w:line="360" w:lineRule="auto"/>
        <w:rPr>
          <w:rFonts w:hint="default" w:ascii="宋体" w:hAnsi="宋体" w:eastAsia="宋体"/>
          <w:spacing w:val="20"/>
          <w:sz w:val="24"/>
          <w:lang w:val="en-US" w:eastAsia="zh-CN"/>
        </w:rPr>
      </w:pPr>
      <w:r>
        <w:rPr>
          <w:rFonts w:hint="eastAsia" w:ascii="宋体" w:hAnsi="宋体"/>
          <w:spacing w:val="20"/>
          <w:sz w:val="24"/>
        </w:rPr>
        <w:t xml:space="preserve">采购项目： </w:t>
      </w:r>
      <w:r>
        <w:rPr>
          <w:rFonts w:hint="eastAsia" w:ascii="宋体" w:hAnsi="宋体"/>
          <w:spacing w:val="20"/>
          <w:sz w:val="24"/>
          <w:lang w:val="en-US" w:eastAsia="zh-CN"/>
        </w:rPr>
        <w:t>丽水学院非学历教育合作</w:t>
      </w:r>
    </w:p>
    <w:p w14:paraId="0DF189A6">
      <w:pPr>
        <w:spacing w:line="360" w:lineRule="auto"/>
        <w:jc w:val="left"/>
        <w:rPr>
          <w:rFonts w:hint="eastAsia" w:ascii="宋体" w:hAnsi="宋体" w:eastAsia="宋体"/>
          <w:spacing w:val="20"/>
          <w:sz w:val="24"/>
          <w:lang w:val="en-US" w:eastAsia="zh-CN"/>
        </w:rPr>
      </w:pPr>
      <w:r>
        <w:rPr>
          <w:rFonts w:hint="eastAsia" w:ascii="宋体" w:hAnsi="宋体"/>
          <w:spacing w:val="20"/>
          <w:sz w:val="24"/>
        </w:rPr>
        <w:t>采购编号</w:t>
      </w:r>
      <w:r>
        <w:rPr>
          <w:rFonts w:hint="eastAsia" w:ascii="宋体" w:hAnsi="宋体"/>
          <w:sz w:val="24"/>
          <w:szCs w:val="28"/>
        </w:rPr>
        <w:t xml:space="preserve">：  </w:t>
      </w:r>
      <w:r>
        <w:rPr>
          <w:rFonts w:hint="eastAsia" w:ascii="宋体" w:hAnsi="宋体"/>
          <w:sz w:val="24"/>
          <w:szCs w:val="28"/>
          <w:lang w:val="en-US" w:eastAsia="zh-CN"/>
        </w:rPr>
        <w:t>浙建航磋商2025050号</w:t>
      </w:r>
      <w:r>
        <w:rPr>
          <w:rFonts w:hint="eastAsia" w:ascii="宋体" w:hAnsi="宋体"/>
          <w:sz w:val="24"/>
          <w:szCs w:val="28"/>
        </w:rPr>
        <w:t xml:space="preserve">                   标项：</w:t>
      </w:r>
      <w:r>
        <w:rPr>
          <w:rFonts w:hint="eastAsia" w:ascii="宋体" w:hAnsi="宋体"/>
          <w:sz w:val="24"/>
          <w:szCs w:val="28"/>
          <w:lang w:val="en-US" w:eastAsia="zh-CN"/>
        </w:rPr>
        <w:t>二</w:t>
      </w:r>
    </w:p>
    <w:tbl>
      <w:tblPr>
        <w:tblStyle w:val="4"/>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2648"/>
        <w:gridCol w:w="24"/>
        <w:gridCol w:w="2287"/>
        <w:gridCol w:w="2311"/>
      </w:tblGrid>
      <w:tr w14:paraId="5D9D9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tcBorders>
              <w:top w:val="single" w:color="auto" w:sz="4" w:space="0"/>
              <w:left w:val="single" w:color="auto" w:sz="4" w:space="0"/>
              <w:bottom w:val="single" w:color="auto" w:sz="4" w:space="0"/>
              <w:right w:val="single" w:color="auto" w:sz="4" w:space="0"/>
            </w:tcBorders>
            <w:noWrap w:val="0"/>
            <w:vAlign w:val="center"/>
          </w:tcPr>
          <w:p w14:paraId="646EA8F6">
            <w:pPr>
              <w:spacing w:line="360" w:lineRule="auto"/>
              <w:jc w:val="center"/>
              <w:rPr>
                <w:rFonts w:ascii="宋体" w:hAnsi="宋体"/>
                <w:spacing w:val="20"/>
                <w:sz w:val="24"/>
              </w:rPr>
            </w:pPr>
            <w:r>
              <w:rPr>
                <w:rFonts w:hint="eastAsia" w:ascii="宋体" w:hAnsi="宋体"/>
                <w:spacing w:val="20"/>
                <w:sz w:val="24"/>
              </w:rPr>
              <w:t>成交人名称</w:t>
            </w:r>
          </w:p>
        </w:tc>
        <w:tc>
          <w:tcPr>
            <w:tcW w:w="2648" w:type="dxa"/>
            <w:tcBorders>
              <w:top w:val="single" w:color="auto" w:sz="4" w:space="0"/>
              <w:left w:val="single" w:color="auto" w:sz="4" w:space="0"/>
              <w:bottom w:val="single" w:color="auto" w:sz="4" w:space="0"/>
              <w:right w:val="single" w:color="auto" w:sz="4" w:space="0"/>
            </w:tcBorders>
            <w:noWrap w:val="0"/>
            <w:vAlign w:val="center"/>
          </w:tcPr>
          <w:p w14:paraId="12F57449">
            <w:pPr>
              <w:spacing w:line="360" w:lineRule="auto"/>
              <w:jc w:val="center"/>
              <w:rPr>
                <w:rFonts w:hint="default" w:ascii="宋体" w:hAnsi="宋体" w:eastAsia="宋体"/>
                <w:spacing w:val="20"/>
                <w:sz w:val="24"/>
                <w:lang w:val="en-US" w:eastAsia="zh-CN"/>
              </w:rPr>
            </w:pPr>
            <w:r>
              <w:rPr>
                <w:rFonts w:hint="eastAsia" w:ascii="宋体" w:hAnsi="宋体"/>
                <w:spacing w:val="20"/>
                <w:sz w:val="24"/>
                <w:lang w:val="en-US" w:eastAsia="zh-CN"/>
              </w:rPr>
              <w:t>杭州前进专修学校</w:t>
            </w:r>
          </w:p>
        </w:tc>
        <w:tc>
          <w:tcPr>
            <w:tcW w:w="2311" w:type="dxa"/>
            <w:gridSpan w:val="2"/>
            <w:tcBorders>
              <w:top w:val="single" w:color="auto" w:sz="4" w:space="0"/>
              <w:left w:val="single" w:color="auto" w:sz="4" w:space="0"/>
              <w:bottom w:val="single" w:color="auto" w:sz="4" w:space="0"/>
              <w:right w:val="single" w:color="auto" w:sz="4" w:space="0"/>
            </w:tcBorders>
            <w:noWrap w:val="0"/>
            <w:vAlign w:val="center"/>
          </w:tcPr>
          <w:p w14:paraId="33A43E77">
            <w:pPr>
              <w:spacing w:line="360" w:lineRule="auto"/>
              <w:jc w:val="center"/>
              <w:rPr>
                <w:rFonts w:ascii="宋体" w:hAnsi="宋体"/>
                <w:spacing w:val="20"/>
                <w:sz w:val="24"/>
              </w:rPr>
            </w:pPr>
            <w:r>
              <w:rPr>
                <w:rFonts w:hint="eastAsia" w:ascii="宋体" w:hAnsi="宋体"/>
                <w:spacing w:val="20"/>
                <w:sz w:val="24"/>
              </w:rPr>
              <w:t>成交人负责人</w:t>
            </w:r>
          </w:p>
        </w:tc>
        <w:tc>
          <w:tcPr>
            <w:tcW w:w="2311" w:type="dxa"/>
            <w:tcBorders>
              <w:top w:val="single" w:color="auto" w:sz="4" w:space="0"/>
              <w:left w:val="single" w:color="auto" w:sz="4" w:space="0"/>
              <w:bottom w:val="single" w:color="auto" w:sz="4" w:space="0"/>
              <w:right w:val="single" w:color="auto" w:sz="4" w:space="0"/>
            </w:tcBorders>
            <w:noWrap w:val="0"/>
            <w:vAlign w:val="center"/>
          </w:tcPr>
          <w:p w14:paraId="16B854CD">
            <w:pPr>
              <w:spacing w:line="360" w:lineRule="auto"/>
              <w:jc w:val="center"/>
              <w:rPr>
                <w:rFonts w:hint="eastAsia" w:ascii="宋体" w:hAnsi="宋体" w:eastAsia="宋体"/>
                <w:spacing w:val="20"/>
                <w:sz w:val="24"/>
                <w:lang w:val="en-US" w:eastAsia="zh-CN"/>
              </w:rPr>
            </w:pPr>
            <w:r>
              <w:rPr>
                <w:rFonts w:hint="eastAsia" w:ascii="宋体" w:hAnsi="宋体"/>
                <w:spacing w:val="20"/>
                <w:sz w:val="24"/>
                <w:lang w:val="en-US" w:eastAsia="zh-CN"/>
              </w:rPr>
              <w:t>胡向阳</w:t>
            </w:r>
          </w:p>
        </w:tc>
      </w:tr>
      <w:tr w14:paraId="3DD60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tcBorders>
              <w:top w:val="single" w:color="auto" w:sz="4" w:space="0"/>
              <w:left w:val="single" w:color="auto" w:sz="4" w:space="0"/>
              <w:bottom w:val="single" w:color="auto" w:sz="4" w:space="0"/>
              <w:right w:val="single" w:color="auto" w:sz="4" w:space="0"/>
            </w:tcBorders>
            <w:noWrap w:val="0"/>
            <w:vAlign w:val="center"/>
          </w:tcPr>
          <w:p w14:paraId="186D2D0A">
            <w:pPr>
              <w:spacing w:line="360" w:lineRule="auto"/>
              <w:jc w:val="center"/>
              <w:rPr>
                <w:rFonts w:ascii="宋体" w:hAnsi="宋体"/>
                <w:spacing w:val="20"/>
                <w:sz w:val="24"/>
              </w:rPr>
            </w:pPr>
            <w:r>
              <w:rPr>
                <w:rFonts w:hint="eastAsia" w:ascii="宋体" w:hAnsi="宋体"/>
                <w:spacing w:val="20"/>
                <w:sz w:val="24"/>
              </w:rPr>
              <w:t>成交人地址</w:t>
            </w:r>
          </w:p>
        </w:tc>
        <w:tc>
          <w:tcPr>
            <w:tcW w:w="7270" w:type="dxa"/>
            <w:gridSpan w:val="4"/>
            <w:tcBorders>
              <w:top w:val="single" w:color="auto" w:sz="4" w:space="0"/>
              <w:left w:val="single" w:color="auto" w:sz="4" w:space="0"/>
              <w:bottom w:val="single" w:color="auto" w:sz="4" w:space="0"/>
              <w:right w:val="single" w:color="auto" w:sz="4" w:space="0"/>
            </w:tcBorders>
            <w:noWrap w:val="0"/>
            <w:vAlign w:val="center"/>
          </w:tcPr>
          <w:p w14:paraId="7C50D97E">
            <w:pPr>
              <w:spacing w:line="360" w:lineRule="auto"/>
              <w:jc w:val="center"/>
              <w:rPr>
                <w:rFonts w:hint="default" w:ascii="宋体" w:hAnsi="宋体" w:eastAsia="宋体"/>
                <w:spacing w:val="20"/>
                <w:sz w:val="24"/>
                <w:lang w:val="en-US" w:eastAsia="zh-CN"/>
              </w:rPr>
            </w:pPr>
            <w:r>
              <w:rPr>
                <w:rFonts w:hint="eastAsia" w:ascii="宋体" w:hAnsi="宋体"/>
                <w:spacing w:val="20"/>
                <w:sz w:val="24"/>
                <w:lang w:val="en-US" w:eastAsia="zh-CN"/>
              </w:rPr>
              <w:t>浙江省杭州市钱塘区学源街1158-1号文创大厦4层</w:t>
            </w:r>
          </w:p>
        </w:tc>
      </w:tr>
      <w:tr w14:paraId="0C469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5"/>
            <w:tcBorders>
              <w:top w:val="single" w:color="auto" w:sz="4" w:space="0"/>
              <w:left w:val="single" w:color="auto" w:sz="4" w:space="0"/>
              <w:bottom w:val="single" w:color="auto" w:sz="4" w:space="0"/>
              <w:right w:val="single" w:color="auto" w:sz="4" w:space="0"/>
            </w:tcBorders>
            <w:noWrap w:val="0"/>
            <w:vAlign w:val="center"/>
          </w:tcPr>
          <w:p w14:paraId="5DD2662D">
            <w:pPr>
              <w:spacing w:line="360" w:lineRule="auto"/>
              <w:jc w:val="center"/>
              <w:rPr>
                <w:rFonts w:ascii="宋体" w:hAnsi="宋体"/>
                <w:spacing w:val="20"/>
                <w:sz w:val="24"/>
              </w:rPr>
            </w:pPr>
            <w:r>
              <w:rPr>
                <w:rFonts w:hint="eastAsia" w:ascii="宋体" w:hAnsi="宋体"/>
                <w:spacing w:val="20"/>
                <w:sz w:val="24"/>
              </w:rPr>
              <w:t xml:space="preserve"> 成交标的</w:t>
            </w:r>
          </w:p>
        </w:tc>
      </w:tr>
      <w:tr w14:paraId="0C11B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tcBorders>
              <w:top w:val="single" w:color="auto" w:sz="4" w:space="0"/>
              <w:left w:val="single" w:color="auto" w:sz="4" w:space="0"/>
              <w:bottom w:val="single" w:color="auto" w:sz="4" w:space="0"/>
              <w:right w:val="single" w:color="auto" w:sz="4" w:space="0"/>
            </w:tcBorders>
            <w:noWrap w:val="0"/>
            <w:vAlign w:val="center"/>
          </w:tcPr>
          <w:p w14:paraId="7306A7C1">
            <w:pPr>
              <w:spacing w:line="360" w:lineRule="auto"/>
              <w:jc w:val="center"/>
              <w:rPr>
                <w:rFonts w:ascii="宋体" w:hAnsi="宋体"/>
                <w:spacing w:val="20"/>
                <w:sz w:val="24"/>
              </w:rPr>
            </w:pPr>
            <w:r>
              <w:rPr>
                <w:rFonts w:hint="eastAsia" w:ascii="宋体" w:hAnsi="宋体"/>
                <w:spacing w:val="20"/>
                <w:sz w:val="24"/>
              </w:rPr>
              <w:t>服务</w:t>
            </w:r>
            <w:r>
              <w:rPr>
                <w:rFonts w:ascii="宋体" w:hAnsi="宋体"/>
                <w:spacing w:val="20"/>
                <w:sz w:val="24"/>
              </w:rPr>
              <w:t>内容</w:t>
            </w:r>
          </w:p>
        </w:tc>
        <w:tc>
          <w:tcPr>
            <w:tcW w:w="2672" w:type="dxa"/>
            <w:gridSpan w:val="2"/>
            <w:tcBorders>
              <w:top w:val="single" w:color="auto" w:sz="4" w:space="0"/>
              <w:left w:val="single" w:color="auto" w:sz="4" w:space="0"/>
              <w:bottom w:val="single" w:color="auto" w:sz="4" w:space="0"/>
              <w:right w:val="single" w:color="auto" w:sz="4" w:space="0"/>
            </w:tcBorders>
            <w:noWrap w:val="0"/>
            <w:vAlign w:val="center"/>
          </w:tcPr>
          <w:p w14:paraId="5BA8F0AF">
            <w:pPr>
              <w:spacing w:line="360" w:lineRule="auto"/>
              <w:jc w:val="center"/>
              <w:rPr>
                <w:rFonts w:ascii="宋体" w:hAnsi="宋体"/>
                <w:spacing w:val="20"/>
                <w:sz w:val="24"/>
              </w:rPr>
            </w:pPr>
            <w:r>
              <w:rPr>
                <w:rFonts w:hint="eastAsia" w:ascii="宋体" w:hAnsi="宋体"/>
                <w:spacing w:val="20"/>
                <w:sz w:val="24"/>
              </w:rPr>
              <w:t>单位</w:t>
            </w:r>
          </w:p>
        </w:tc>
        <w:tc>
          <w:tcPr>
            <w:tcW w:w="2287" w:type="dxa"/>
            <w:tcBorders>
              <w:top w:val="single" w:color="auto" w:sz="4" w:space="0"/>
              <w:left w:val="single" w:color="auto" w:sz="4" w:space="0"/>
              <w:bottom w:val="single" w:color="auto" w:sz="4" w:space="0"/>
              <w:right w:val="single" w:color="auto" w:sz="4" w:space="0"/>
            </w:tcBorders>
            <w:noWrap w:val="0"/>
            <w:vAlign w:val="center"/>
          </w:tcPr>
          <w:p w14:paraId="339F2D1F">
            <w:pPr>
              <w:spacing w:line="360" w:lineRule="auto"/>
              <w:jc w:val="center"/>
              <w:rPr>
                <w:rFonts w:ascii="宋体" w:hAnsi="宋体"/>
                <w:spacing w:val="20"/>
                <w:sz w:val="24"/>
              </w:rPr>
            </w:pPr>
            <w:r>
              <w:rPr>
                <w:rFonts w:hint="eastAsia" w:ascii="宋体" w:hAnsi="宋体"/>
                <w:spacing w:val="20"/>
                <w:sz w:val="24"/>
              </w:rPr>
              <w:t>数量</w:t>
            </w:r>
          </w:p>
        </w:tc>
        <w:tc>
          <w:tcPr>
            <w:tcW w:w="2311" w:type="dxa"/>
            <w:tcBorders>
              <w:top w:val="single" w:color="auto" w:sz="4" w:space="0"/>
              <w:left w:val="single" w:color="auto" w:sz="4" w:space="0"/>
              <w:bottom w:val="single" w:color="auto" w:sz="4" w:space="0"/>
              <w:right w:val="single" w:color="auto" w:sz="4" w:space="0"/>
            </w:tcBorders>
            <w:noWrap w:val="0"/>
            <w:vAlign w:val="center"/>
          </w:tcPr>
          <w:p w14:paraId="31E6A3FC">
            <w:pPr>
              <w:spacing w:line="360" w:lineRule="auto"/>
              <w:jc w:val="center"/>
              <w:rPr>
                <w:rFonts w:ascii="宋体" w:hAnsi="宋体"/>
                <w:spacing w:val="20"/>
                <w:sz w:val="24"/>
              </w:rPr>
            </w:pPr>
            <w:r>
              <w:rPr>
                <w:rFonts w:hint="eastAsia" w:ascii="宋体" w:hAnsi="宋体"/>
                <w:spacing w:val="20"/>
                <w:sz w:val="24"/>
              </w:rPr>
              <w:t>结算比例（%）</w:t>
            </w:r>
          </w:p>
        </w:tc>
      </w:tr>
      <w:tr w14:paraId="0123B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tcBorders>
              <w:top w:val="single" w:color="auto" w:sz="4" w:space="0"/>
              <w:left w:val="single" w:color="auto" w:sz="4" w:space="0"/>
              <w:bottom w:val="single" w:color="auto" w:sz="4" w:space="0"/>
              <w:right w:val="single" w:color="auto" w:sz="4" w:space="0"/>
            </w:tcBorders>
            <w:noWrap w:val="0"/>
            <w:vAlign w:val="center"/>
          </w:tcPr>
          <w:p w14:paraId="36C9D9C9">
            <w:pPr>
              <w:spacing w:line="360" w:lineRule="auto"/>
              <w:jc w:val="center"/>
              <w:rPr>
                <w:rFonts w:hint="default" w:ascii="宋体" w:hAnsi="宋体" w:eastAsia="宋体"/>
                <w:spacing w:val="20"/>
                <w:sz w:val="24"/>
                <w:lang w:val="en-US" w:eastAsia="zh-CN"/>
              </w:rPr>
            </w:pPr>
            <w:r>
              <w:rPr>
                <w:rFonts w:hint="eastAsia" w:ascii="宋体" w:hAnsi="宋体"/>
                <w:spacing w:val="20"/>
                <w:sz w:val="24"/>
                <w:lang w:val="en-US" w:eastAsia="zh-CN"/>
              </w:rPr>
              <w:t>公务员事业单位考前培训</w:t>
            </w:r>
          </w:p>
        </w:tc>
        <w:tc>
          <w:tcPr>
            <w:tcW w:w="2672" w:type="dxa"/>
            <w:gridSpan w:val="2"/>
            <w:tcBorders>
              <w:top w:val="single" w:color="auto" w:sz="4" w:space="0"/>
              <w:left w:val="single" w:color="auto" w:sz="4" w:space="0"/>
              <w:bottom w:val="single" w:color="auto" w:sz="4" w:space="0"/>
              <w:right w:val="single" w:color="auto" w:sz="4" w:space="0"/>
            </w:tcBorders>
            <w:noWrap w:val="0"/>
            <w:vAlign w:val="center"/>
          </w:tcPr>
          <w:p w14:paraId="77359EE6">
            <w:pPr>
              <w:spacing w:line="360" w:lineRule="auto"/>
              <w:jc w:val="center"/>
              <w:rPr>
                <w:rFonts w:hint="eastAsia" w:ascii="宋体" w:hAnsi="宋体" w:eastAsia="宋体"/>
                <w:spacing w:val="20"/>
                <w:sz w:val="24"/>
                <w:lang w:val="en-US" w:eastAsia="zh-CN"/>
              </w:rPr>
            </w:pPr>
            <w:r>
              <w:rPr>
                <w:rFonts w:hint="eastAsia" w:ascii="宋体" w:hAnsi="宋体"/>
                <w:spacing w:val="20"/>
                <w:sz w:val="24"/>
                <w:lang w:val="en-US" w:eastAsia="zh-CN"/>
              </w:rPr>
              <w:t>份</w:t>
            </w:r>
          </w:p>
        </w:tc>
        <w:tc>
          <w:tcPr>
            <w:tcW w:w="2287" w:type="dxa"/>
            <w:tcBorders>
              <w:top w:val="single" w:color="auto" w:sz="4" w:space="0"/>
              <w:left w:val="single" w:color="auto" w:sz="4" w:space="0"/>
              <w:bottom w:val="single" w:color="auto" w:sz="4" w:space="0"/>
              <w:right w:val="single" w:color="auto" w:sz="4" w:space="0"/>
            </w:tcBorders>
            <w:noWrap w:val="0"/>
            <w:vAlign w:val="center"/>
          </w:tcPr>
          <w:p w14:paraId="6E46A675">
            <w:pPr>
              <w:spacing w:line="360" w:lineRule="auto"/>
              <w:jc w:val="center"/>
              <w:rPr>
                <w:rFonts w:hint="eastAsia" w:ascii="宋体" w:hAnsi="宋体" w:eastAsia="宋体"/>
                <w:spacing w:val="20"/>
                <w:sz w:val="24"/>
                <w:lang w:val="en-US" w:eastAsia="zh-CN"/>
              </w:rPr>
            </w:pPr>
            <w:r>
              <w:rPr>
                <w:rFonts w:hint="eastAsia" w:ascii="宋体" w:hAnsi="宋体"/>
                <w:spacing w:val="20"/>
                <w:sz w:val="24"/>
                <w:lang w:val="en-US" w:eastAsia="zh-CN"/>
              </w:rPr>
              <w:t>1</w:t>
            </w:r>
          </w:p>
        </w:tc>
        <w:tc>
          <w:tcPr>
            <w:tcW w:w="2311" w:type="dxa"/>
            <w:tcBorders>
              <w:top w:val="single" w:color="auto" w:sz="4" w:space="0"/>
              <w:left w:val="single" w:color="auto" w:sz="4" w:space="0"/>
              <w:bottom w:val="single" w:color="auto" w:sz="4" w:space="0"/>
              <w:right w:val="single" w:color="auto" w:sz="4" w:space="0"/>
            </w:tcBorders>
            <w:noWrap w:val="0"/>
            <w:vAlign w:val="center"/>
          </w:tcPr>
          <w:p w14:paraId="5EAE8D5A">
            <w:pPr>
              <w:spacing w:line="360" w:lineRule="auto"/>
              <w:jc w:val="center"/>
              <w:rPr>
                <w:rFonts w:hint="default" w:ascii="宋体" w:hAnsi="宋体" w:eastAsia="宋体"/>
                <w:spacing w:val="20"/>
                <w:sz w:val="24"/>
                <w:lang w:val="en-US" w:eastAsia="zh-CN"/>
              </w:rPr>
            </w:pPr>
            <w:r>
              <w:rPr>
                <w:rFonts w:hint="eastAsia" w:ascii="宋体" w:hAnsi="宋体"/>
                <w:spacing w:val="20"/>
                <w:sz w:val="24"/>
                <w:lang w:val="en-US" w:eastAsia="zh-CN"/>
              </w:rPr>
              <w:t>69.8%</w:t>
            </w:r>
          </w:p>
        </w:tc>
      </w:tr>
      <w:tr w14:paraId="08095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tcBorders>
              <w:top w:val="single" w:color="auto" w:sz="4" w:space="0"/>
              <w:left w:val="single" w:color="auto" w:sz="4" w:space="0"/>
              <w:bottom w:val="single" w:color="auto" w:sz="4" w:space="0"/>
              <w:right w:val="single" w:color="auto" w:sz="4" w:space="0"/>
            </w:tcBorders>
            <w:noWrap w:val="0"/>
            <w:vAlign w:val="top"/>
          </w:tcPr>
          <w:p w14:paraId="0D31DE33">
            <w:pPr>
              <w:spacing w:line="360" w:lineRule="auto"/>
              <w:rPr>
                <w:rFonts w:ascii="宋体" w:hAnsi="宋体"/>
                <w:spacing w:val="20"/>
                <w:sz w:val="24"/>
              </w:rPr>
            </w:pPr>
          </w:p>
        </w:tc>
        <w:tc>
          <w:tcPr>
            <w:tcW w:w="2672" w:type="dxa"/>
            <w:gridSpan w:val="2"/>
            <w:tcBorders>
              <w:top w:val="single" w:color="auto" w:sz="4" w:space="0"/>
              <w:left w:val="single" w:color="auto" w:sz="4" w:space="0"/>
              <w:bottom w:val="single" w:color="auto" w:sz="4" w:space="0"/>
              <w:right w:val="single" w:color="auto" w:sz="4" w:space="0"/>
            </w:tcBorders>
            <w:noWrap w:val="0"/>
            <w:vAlign w:val="top"/>
          </w:tcPr>
          <w:p w14:paraId="52E79225">
            <w:pPr>
              <w:spacing w:line="360" w:lineRule="auto"/>
              <w:rPr>
                <w:rFonts w:ascii="宋体" w:hAnsi="宋体"/>
                <w:spacing w:val="20"/>
                <w:sz w:val="24"/>
              </w:rPr>
            </w:pPr>
          </w:p>
        </w:tc>
        <w:tc>
          <w:tcPr>
            <w:tcW w:w="2287" w:type="dxa"/>
            <w:tcBorders>
              <w:top w:val="single" w:color="auto" w:sz="4" w:space="0"/>
              <w:left w:val="single" w:color="auto" w:sz="4" w:space="0"/>
              <w:bottom w:val="single" w:color="auto" w:sz="4" w:space="0"/>
              <w:right w:val="single" w:color="auto" w:sz="4" w:space="0"/>
            </w:tcBorders>
            <w:noWrap w:val="0"/>
            <w:vAlign w:val="top"/>
          </w:tcPr>
          <w:p w14:paraId="5668234C">
            <w:pPr>
              <w:spacing w:line="360" w:lineRule="auto"/>
              <w:rPr>
                <w:rFonts w:ascii="宋体" w:hAnsi="宋体"/>
                <w:spacing w:val="20"/>
                <w:sz w:val="24"/>
              </w:rPr>
            </w:pPr>
          </w:p>
        </w:tc>
        <w:tc>
          <w:tcPr>
            <w:tcW w:w="2311" w:type="dxa"/>
            <w:tcBorders>
              <w:top w:val="single" w:color="auto" w:sz="4" w:space="0"/>
              <w:left w:val="single" w:color="auto" w:sz="4" w:space="0"/>
              <w:bottom w:val="single" w:color="auto" w:sz="4" w:space="0"/>
              <w:right w:val="single" w:color="auto" w:sz="4" w:space="0"/>
            </w:tcBorders>
            <w:noWrap w:val="0"/>
            <w:vAlign w:val="top"/>
          </w:tcPr>
          <w:p w14:paraId="412D3595">
            <w:pPr>
              <w:spacing w:line="360" w:lineRule="auto"/>
              <w:rPr>
                <w:rFonts w:ascii="宋体" w:hAnsi="宋体"/>
                <w:spacing w:val="20"/>
                <w:sz w:val="24"/>
              </w:rPr>
            </w:pPr>
          </w:p>
        </w:tc>
      </w:tr>
      <w:tr w14:paraId="40E3E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tcBorders>
              <w:top w:val="single" w:color="auto" w:sz="4" w:space="0"/>
              <w:left w:val="single" w:color="auto" w:sz="4" w:space="0"/>
              <w:bottom w:val="single" w:color="auto" w:sz="4" w:space="0"/>
              <w:right w:val="single" w:color="auto" w:sz="4" w:space="0"/>
            </w:tcBorders>
            <w:noWrap w:val="0"/>
            <w:vAlign w:val="top"/>
          </w:tcPr>
          <w:p w14:paraId="0F1FC11D">
            <w:pPr>
              <w:spacing w:line="360" w:lineRule="auto"/>
              <w:rPr>
                <w:rFonts w:ascii="宋体" w:hAnsi="宋体"/>
                <w:spacing w:val="20"/>
                <w:sz w:val="24"/>
              </w:rPr>
            </w:pPr>
          </w:p>
        </w:tc>
        <w:tc>
          <w:tcPr>
            <w:tcW w:w="2672" w:type="dxa"/>
            <w:gridSpan w:val="2"/>
            <w:tcBorders>
              <w:top w:val="single" w:color="auto" w:sz="4" w:space="0"/>
              <w:left w:val="single" w:color="auto" w:sz="4" w:space="0"/>
              <w:bottom w:val="single" w:color="auto" w:sz="4" w:space="0"/>
              <w:right w:val="single" w:color="auto" w:sz="4" w:space="0"/>
            </w:tcBorders>
            <w:noWrap w:val="0"/>
            <w:vAlign w:val="top"/>
          </w:tcPr>
          <w:p w14:paraId="5B843BC4">
            <w:pPr>
              <w:spacing w:line="360" w:lineRule="auto"/>
              <w:rPr>
                <w:rFonts w:ascii="宋体" w:hAnsi="宋体"/>
                <w:spacing w:val="20"/>
                <w:sz w:val="24"/>
              </w:rPr>
            </w:pPr>
          </w:p>
        </w:tc>
        <w:tc>
          <w:tcPr>
            <w:tcW w:w="2287" w:type="dxa"/>
            <w:tcBorders>
              <w:top w:val="single" w:color="auto" w:sz="4" w:space="0"/>
              <w:left w:val="single" w:color="auto" w:sz="4" w:space="0"/>
              <w:bottom w:val="single" w:color="auto" w:sz="4" w:space="0"/>
              <w:right w:val="single" w:color="auto" w:sz="4" w:space="0"/>
            </w:tcBorders>
            <w:noWrap w:val="0"/>
            <w:vAlign w:val="top"/>
          </w:tcPr>
          <w:p w14:paraId="76903679">
            <w:pPr>
              <w:spacing w:line="360" w:lineRule="auto"/>
              <w:rPr>
                <w:rFonts w:ascii="宋体" w:hAnsi="宋体"/>
                <w:spacing w:val="20"/>
                <w:sz w:val="24"/>
              </w:rPr>
            </w:pPr>
          </w:p>
        </w:tc>
        <w:tc>
          <w:tcPr>
            <w:tcW w:w="2311" w:type="dxa"/>
            <w:tcBorders>
              <w:top w:val="single" w:color="auto" w:sz="4" w:space="0"/>
              <w:left w:val="single" w:color="auto" w:sz="4" w:space="0"/>
              <w:bottom w:val="single" w:color="auto" w:sz="4" w:space="0"/>
              <w:right w:val="single" w:color="auto" w:sz="4" w:space="0"/>
            </w:tcBorders>
            <w:noWrap w:val="0"/>
            <w:vAlign w:val="top"/>
          </w:tcPr>
          <w:p w14:paraId="14698AF2">
            <w:pPr>
              <w:spacing w:line="360" w:lineRule="auto"/>
              <w:rPr>
                <w:rFonts w:ascii="宋体" w:hAnsi="宋体"/>
                <w:spacing w:val="20"/>
                <w:sz w:val="24"/>
              </w:rPr>
            </w:pPr>
          </w:p>
        </w:tc>
      </w:tr>
      <w:tr w14:paraId="73BE9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9242" w:type="dxa"/>
            <w:gridSpan w:val="5"/>
            <w:tcBorders>
              <w:top w:val="single" w:color="auto" w:sz="4" w:space="0"/>
              <w:left w:val="single" w:color="auto" w:sz="4" w:space="0"/>
              <w:bottom w:val="single" w:color="auto" w:sz="4" w:space="0"/>
              <w:right w:val="single" w:color="auto" w:sz="4" w:space="0"/>
            </w:tcBorders>
            <w:noWrap w:val="0"/>
            <w:vAlign w:val="top"/>
          </w:tcPr>
          <w:p w14:paraId="7B601666">
            <w:pPr>
              <w:keepNext w:val="0"/>
              <w:keepLines w:val="0"/>
              <w:widowControl/>
              <w:suppressLineNumbers w:val="0"/>
              <w:spacing w:before="0" w:beforeAutospacing="1" w:after="0" w:afterAutospacing="1" w:line="560" w:lineRule="exact"/>
              <w:ind w:left="0" w:right="0" w:firstLine="560" w:firstLineChars="200"/>
              <w:jc w:val="both"/>
              <w:rPr>
                <w:rFonts w:ascii="宋体" w:hAnsi="宋体"/>
                <w:spacing w:val="20"/>
                <w:sz w:val="24"/>
              </w:rPr>
            </w:pPr>
            <w:r>
              <w:rPr>
                <w:rFonts w:hint="eastAsia" w:ascii="宋体" w:hAnsi="宋体"/>
                <w:spacing w:val="20"/>
                <w:sz w:val="24"/>
              </w:rPr>
              <w:t>服务承诺：</w:t>
            </w:r>
            <w:r>
              <w:rPr>
                <w:rFonts w:hint="default" w:ascii="宋体" w:hAnsi="宋体"/>
                <w:spacing w:val="20"/>
                <w:sz w:val="24"/>
                <w:lang w:val="en-US" w:eastAsia="zh-CN"/>
              </w:rPr>
              <w:t>我们郑重承诺，将以高标准为您提供优质服务。在培训项目设计与实施上，精心规划，确保内容实用、形式多样。严格把控培训质量，选拔优秀师资，提供专业指导。对于收费，保证公平合理，绝不高于市场价。同时，积极倾听您的意见，及时响应您的需求，不断优化服务流程。我们将以真诚与专业，践行承诺，为您带来满意的服务体验。</w:t>
            </w:r>
            <w:bookmarkStart w:id="3" w:name="_GoBack"/>
            <w:bookmarkEnd w:id="3"/>
          </w:p>
        </w:tc>
      </w:tr>
    </w:tbl>
    <w:p w14:paraId="3EFE87CB">
      <w:pPr>
        <w:rPr>
          <w:rFonts w:hint="eastAsia" w:ascii="宋体" w:hAnsi="宋体"/>
          <w:spacing w:val="20"/>
          <w:szCs w:val="21"/>
        </w:rPr>
      </w:pPr>
      <w:r>
        <w:rPr>
          <w:rFonts w:hint="eastAsia" w:ascii="宋体" w:hAnsi="宋体"/>
          <w:spacing w:val="20"/>
          <w:szCs w:val="21"/>
        </w:rPr>
        <w:t>注：1、供应商应根据其响应情况填写该表，并保证其与响应文件内容的一致性、正确性和真实性；</w:t>
      </w:r>
    </w:p>
    <w:p w14:paraId="2624E450">
      <w:pPr>
        <w:ind w:firstLine="490" w:firstLineChars="196"/>
        <w:rPr>
          <w:rFonts w:hint="eastAsia" w:ascii="宋体" w:hAnsi="宋体"/>
          <w:spacing w:val="20"/>
          <w:szCs w:val="21"/>
        </w:rPr>
      </w:pPr>
      <w:r>
        <w:rPr>
          <w:rFonts w:hint="eastAsia" w:ascii="宋体" w:hAnsi="宋体"/>
          <w:spacing w:val="20"/>
          <w:szCs w:val="21"/>
        </w:rPr>
        <w:t>2、填写该表不代表供应商已具有成交人资格。本表只作为成交结果公告内容的一部分，进行公告使用；</w:t>
      </w:r>
    </w:p>
    <w:p w14:paraId="025450C0">
      <w:pPr>
        <w:ind w:firstLine="490" w:firstLineChars="196"/>
        <w:rPr>
          <w:rFonts w:hint="eastAsia" w:ascii="宋体" w:hAnsi="宋体"/>
          <w:spacing w:val="20"/>
          <w:szCs w:val="21"/>
        </w:rPr>
      </w:pPr>
      <w:r>
        <w:rPr>
          <w:rFonts w:hint="eastAsia" w:ascii="宋体" w:hAnsi="宋体"/>
          <w:spacing w:val="20"/>
          <w:szCs w:val="21"/>
        </w:rPr>
        <w:t>3、本表内容涉及较多，供应商可以适当增减表格行数，以保证表格内容的完整；</w:t>
      </w:r>
    </w:p>
    <w:p w14:paraId="50716E8E">
      <w:pPr>
        <w:ind w:firstLine="490" w:firstLineChars="196"/>
        <w:rPr>
          <w:rFonts w:hint="eastAsia" w:ascii="宋体" w:hAnsi="宋体"/>
          <w:spacing w:val="20"/>
          <w:szCs w:val="21"/>
        </w:rPr>
      </w:pPr>
      <w:r>
        <w:rPr>
          <w:rFonts w:hint="eastAsia" w:ascii="宋体" w:hAnsi="宋体"/>
          <w:spacing w:val="20"/>
          <w:szCs w:val="21"/>
        </w:rPr>
        <w:t>4、评审结果排名第一的供应商在评审结束后</w:t>
      </w:r>
      <w:r>
        <w:rPr>
          <w:rFonts w:hint="eastAsia" w:ascii="宋体" w:hAnsi="宋体"/>
          <w:b/>
          <w:spacing w:val="20"/>
          <w:szCs w:val="21"/>
        </w:rPr>
        <w:t>2个工作日内</w:t>
      </w:r>
      <w:r>
        <w:rPr>
          <w:rFonts w:hint="eastAsia" w:ascii="宋体" w:hAnsi="宋体"/>
          <w:spacing w:val="20"/>
          <w:szCs w:val="21"/>
        </w:rPr>
        <w:t>将该表格提交给代理机构的项目负责人。未按时提交规定内容造成后果由供应商自行承担。</w:t>
      </w:r>
    </w:p>
    <w:p w14:paraId="26F2B40B">
      <w:pPr>
        <w:ind w:firstLine="490" w:firstLineChars="196"/>
        <w:rPr>
          <w:rFonts w:hint="eastAsia" w:ascii="宋体" w:hAnsi="宋体"/>
          <w:spacing w:val="20"/>
          <w:szCs w:val="21"/>
        </w:rPr>
      </w:pPr>
      <w:r>
        <w:rPr>
          <w:rFonts w:hint="eastAsia" w:ascii="宋体" w:hAnsi="宋体"/>
          <w:spacing w:val="20"/>
          <w:szCs w:val="21"/>
        </w:rPr>
        <w:t>5、成交结果公告内容如涉及供应商的商业秘密等法律法规规定可以不予公告的情形，供应商应另附书面说明，如未事前书面说明造成的后果由供应商自行承担。</w:t>
      </w:r>
    </w:p>
    <w:p w14:paraId="3910F4A0">
      <w:pPr>
        <w:ind w:firstLine="560" w:firstLineChars="200"/>
        <w:rPr>
          <w:rFonts w:hint="eastAsia" w:ascii="仿宋_GB2312" w:eastAsia="仿宋_GB2312"/>
          <w:spacing w:val="20"/>
          <w:sz w:val="24"/>
        </w:rPr>
      </w:pPr>
    </w:p>
    <w:p w14:paraId="245C1EB4">
      <w:pPr>
        <w:tabs>
          <w:tab w:val="left" w:pos="1418"/>
        </w:tabs>
        <w:spacing w:line="360" w:lineRule="auto"/>
        <w:rPr>
          <w:rFonts w:hint="eastAsia" w:ascii="宋体" w:hAnsi="宋体"/>
          <w:spacing w:val="20"/>
          <w:sz w:val="24"/>
          <w:u w:val="single"/>
        </w:rPr>
      </w:pPr>
    </w:p>
    <w:p w14:paraId="48D11D5C"/>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0C49B6"/>
    <w:rsid w:val="40C874D9"/>
    <w:rsid w:val="650C49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3"/>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pPr>
    <w:rPr>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2025-03-26T09:09:00Z</dcterms:created>
  <dc:creator>稻草人&amp;</dc:creator>
  <cp:lastModifiedBy>稻草人&amp;</cp:lastModifiedBy>
  <dcterms:modified xsi:type="dcterms:W3CDTF">2025-03-26T09:23:23Z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2276FFEB97A04F3E9AA98B3DAAAC3EDA_11</vt:lpwstr>
  </property>
  <property fmtid="{D5CDD505-2E9C-101B-9397-08002B2CF9AE}" pid="4" name="KSOTemplateDocerSaveRecord">
    <vt:lpwstr>eyJoZGlkIjoiOTk4MTQwMGE5N2Q5YzUxNjVlZjhjNDI5MDM4MGEyOTkiLCJ1c2VySWQiOiI0NDM3ODcwOTYifQ==</vt:lpwstr>
  </property>
</Properties>
</file>