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b/>
          <w:bCs/>
          <w:sz w:val="32"/>
          <w:szCs w:val="32"/>
          <w:lang w:val="en-US" w:eastAsia="zh-CN"/>
        </w:rPr>
      </w:pPr>
      <w:r>
        <w:rPr>
          <w:rFonts w:hint="eastAsia"/>
          <w:b/>
          <w:bCs/>
          <w:sz w:val="32"/>
          <w:szCs w:val="32"/>
          <w:lang w:val="en-US" w:eastAsia="zh-CN"/>
        </w:rPr>
        <w:t>餐厅“除四害”控虫技术服务</w:t>
      </w:r>
    </w:p>
    <w:p>
      <w:pPr>
        <w:spacing w:line="480" w:lineRule="auto"/>
        <w:jc w:val="center"/>
        <w:rPr>
          <w:rFonts w:hint="default"/>
          <w:b/>
          <w:bCs/>
          <w:sz w:val="32"/>
          <w:szCs w:val="32"/>
          <w:lang w:val="en-US" w:eastAsia="zh-CN"/>
        </w:rPr>
      </w:pPr>
      <w:r>
        <w:rPr>
          <w:rFonts w:hint="eastAsia"/>
          <w:b/>
          <w:bCs/>
          <w:sz w:val="32"/>
          <w:szCs w:val="32"/>
          <w:lang w:val="en-US" w:eastAsia="zh-CN"/>
        </w:rPr>
        <w:t>项目采购需求</w:t>
      </w:r>
    </w:p>
    <w:p>
      <w:pPr>
        <w:spacing w:line="360" w:lineRule="auto"/>
        <w:rPr>
          <w:rFonts w:hint="eastAsia" w:ascii="宋体" w:hAnsi="宋体"/>
          <w:b/>
          <w:color w:val="000000" w:themeColor="text1"/>
          <w:sz w:val="24"/>
          <w:szCs w:val="24"/>
          <w14:textFill>
            <w14:solidFill>
              <w14:schemeClr w14:val="tx1"/>
            </w14:solidFill>
          </w14:textFill>
        </w:rPr>
      </w:pP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一、项目概况</w:t>
      </w:r>
    </w:p>
    <w:p>
      <w:pPr>
        <w:spacing w:line="360" w:lineRule="auto"/>
        <w:ind w:firstLine="480" w:firstLineChars="200"/>
        <w:rPr>
          <w:rFonts w:ascii="宋体" w:hAnsi="宋体" w:cs="宋体"/>
          <w:color w:val="auto"/>
          <w:sz w:val="24"/>
          <w:szCs w:val="24"/>
        </w:rPr>
      </w:pPr>
      <w:r>
        <w:rPr>
          <w:rFonts w:hint="eastAsia" w:ascii="宋体" w:hAnsi="宋体" w:cs="宋体"/>
          <w:color w:val="000000" w:themeColor="text1"/>
          <w:sz w:val="24"/>
          <w:szCs w:val="24"/>
          <w14:textFill>
            <w14:solidFill>
              <w14:schemeClr w14:val="tx1"/>
            </w14:solidFill>
          </w14:textFill>
        </w:rPr>
        <w:t>1、项目名</w:t>
      </w:r>
      <w:r>
        <w:rPr>
          <w:rFonts w:hint="eastAsia" w:ascii="宋体" w:hAnsi="宋体" w:cs="宋体"/>
          <w:color w:val="auto"/>
          <w:sz w:val="24"/>
          <w:szCs w:val="24"/>
        </w:rPr>
        <w:t>称：控虫技术服务采购项目。</w:t>
      </w:r>
    </w:p>
    <w:p>
      <w:pPr>
        <w:spacing w:line="360" w:lineRule="auto"/>
        <w:ind w:firstLine="480" w:firstLineChars="200"/>
        <w:rPr>
          <w:rFonts w:ascii="宋体" w:hAnsi="宋体"/>
          <w:color w:val="auto"/>
          <w:kern w:val="0"/>
          <w:szCs w:val="22"/>
        </w:rPr>
      </w:pPr>
      <w:r>
        <w:rPr>
          <w:rFonts w:hint="eastAsia" w:ascii="宋体" w:hAnsi="宋体" w:cs="宋体"/>
          <w:color w:val="auto"/>
          <w:sz w:val="24"/>
          <w:szCs w:val="24"/>
        </w:rPr>
        <w:t>2、项目内容：为保障甲方管辖区域内的环境卫生安全，减少传播疾病，定期、定人灭杀“四害”，做好防控措施，确保员工工作场所环境无蚊蝇蟑鼠</w:t>
      </w:r>
      <w:r>
        <w:rPr>
          <w:rFonts w:hint="eastAsia" w:ascii="宋体" w:hAnsi="宋体"/>
          <w:color w:val="auto"/>
          <w:kern w:val="0"/>
          <w:szCs w:val="22"/>
        </w:rPr>
        <w:t>。</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3、服务期限：</w:t>
      </w:r>
      <w:r>
        <w:rPr>
          <w:rFonts w:hint="eastAsia" w:ascii="宋体" w:hAnsi="宋体" w:cs="宋体"/>
          <w:color w:val="auto"/>
          <w:sz w:val="24"/>
          <w:szCs w:val="24"/>
          <w:lang w:eastAsia="zh-CN"/>
        </w:rPr>
        <w:t>一年</w:t>
      </w:r>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4、最高限价：（含税）</w:t>
      </w:r>
      <w:r>
        <w:rPr>
          <w:rFonts w:hint="eastAsia" w:ascii="宋体" w:hAnsi="宋体" w:cs="宋体"/>
          <w:color w:val="auto"/>
          <w:sz w:val="24"/>
          <w:szCs w:val="24"/>
          <w:lang w:val="en-US" w:eastAsia="zh-CN"/>
        </w:rPr>
        <w:t>50000.00元</w:t>
      </w:r>
    </w:p>
    <w:p>
      <w:pPr>
        <w:spacing w:line="360" w:lineRule="auto"/>
        <w:rPr>
          <w:rFonts w:ascii="宋体" w:hAnsi="宋体"/>
          <w:b/>
          <w:color w:val="auto"/>
          <w:sz w:val="24"/>
          <w:szCs w:val="24"/>
        </w:rPr>
      </w:pPr>
      <w:r>
        <w:rPr>
          <w:rFonts w:hint="eastAsia" w:ascii="宋体" w:hAnsi="宋体"/>
          <w:b/>
          <w:color w:val="auto"/>
          <w:sz w:val="24"/>
          <w:szCs w:val="24"/>
        </w:rPr>
        <w:t>二、服务范围</w:t>
      </w:r>
    </w:p>
    <w:p>
      <w:pPr>
        <w:spacing w:line="440" w:lineRule="exact"/>
        <w:ind w:left="479" w:leftChars="228" w:firstLine="0" w:firstLineChars="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聚香食府一楼（第一食堂）、食香苑（第六食堂）、莲花食府二楼（第七食堂）、金桥食府一楼（第九食堂）、金桥食府二楼（第八食堂）。</w:t>
      </w:r>
    </w:p>
    <w:p>
      <w:pPr>
        <w:spacing w:line="360" w:lineRule="auto"/>
        <w:rPr>
          <w:rFonts w:ascii="宋体" w:hAnsi="宋体"/>
          <w:b/>
          <w:color w:val="auto"/>
          <w:sz w:val="24"/>
          <w:szCs w:val="24"/>
        </w:rPr>
      </w:pPr>
      <w:r>
        <w:rPr>
          <w:rFonts w:hint="eastAsia" w:ascii="宋体" w:hAnsi="宋体"/>
          <w:b/>
          <w:color w:val="auto"/>
          <w:sz w:val="24"/>
          <w:szCs w:val="24"/>
        </w:rPr>
        <w:t>三、服务人员要求</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1、负责人员具备（有害生物防治员高级证书、健康证、食品安全</w:t>
      </w:r>
      <w:r>
        <w:rPr>
          <w:rFonts w:ascii="宋体" w:hAnsi="宋体" w:cs="宋体"/>
          <w:color w:val="000000"/>
          <w:sz w:val="24"/>
          <w:szCs w:val="24"/>
        </w:rPr>
        <w:t>BRC</w:t>
      </w:r>
      <w:r>
        <w:rPr>
          <w:rFonts w:hint="eastAsia" w:ascii="宋体" w:hAnsi="宋体" w:cs="宋体"/>
          <w:color w:val="000000"/>
          <w:sz w:val="24"/>
          <w:szCs w:val="24"/>
        </w:rPr>
        <w:t>认证）</w:t>
      </w:r>
    </w:p>
    <w:p>
      <w:pPr>
        <w:pStyle w:val="2"/>
        <w:ind w:firstLine="210"/>
        <w:rPr>
          <w:rFonts w:hint="eastAsia"/>
        </w:rPr>
      </w:pPr>
      <w:r>
        <w:t xml:space="preserve">     </w:t>
      </w:r>
      <w:r>
        <w:rPr>
          <w:rFonts w:ascii="宋体" w:hAnsi="宋体" w:cs="宋体"/>
          <w:color w:val="000000"/>
          <w:sz w:val="24"/>
          <w:szCs w:val="24"/>
        </w:rPr>
        <w:t>2</w:t>
      </w:r>
      <w:r>
        <w:rPr>
          <w:rFonts w:hint="eastAsia" w:ascii="宋体" w:hAnsi="宋体" w:cs="宋体"/>
          <w:color w:val="000000"/>
          <w:sz w:val="24"/>
          <w:szCs w:val="24"/>
        </w:rPr>
        <w:t>、服务人员具备（有害生物防治员初级证书以上、健康证）</w:t>
      </w:r>
    </w:p>
    <w:p>
      <w:pPr>
        <w:spacing w:line="520" w:lineRule="exac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四、服务要求</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1、中标</w:t>
      </w:r>
      <w:r>
        <w:rPr>
          <w:rFonts w:hint="eastAsia" w:ascii="宋体" w:hAnsi="宋体" w:cs="宋体"/>
          <w:color w:val="000000"/>
          <w:sz w:val="24"/>
          <w:szCs w:val="24"/>
          <w:lang w:eastAsia="zh-CN"/>
        </w:rPr>
        <w:t>供应商</w:t>
      </w:r>
      <w:r>
        <w:rPr>
          <w:rFonts w:hint="eastAsia" w:ascii="宋体" w:hAnsi="宋体" w:cs="宋体"/>
          <w:color w:val="000000"/>
          <w:sz w:val="24"/>
          <w:szCs w:val="24"/>
        </w:rPr>
        <w:t>提供</w:t>
      </w:r>
      <w:r>
        <w:rPr>
          <w:rFonts w:ascii="宋体" w:hAnsi="宋体" w:cs="宋体"/>
          <w:color w:val="000000"/>
          <w:sz w:val="24"/>
          <w:szCs w:val="24"/>
        </w:rPr>
        <w:t>控虫服务前，</w:t>
      </w:r>
      <w:r>
        <w:rPr>
          <w:rFonts w:hint="eastAsia" w:ascii="宋体" w:hAnsi="宋体" w:cs="宋体"/>
          <w:color w:val="000000"/>
          <w:sz w:val="24"/>
          <w:szCs w:val="24"/>
        </w:rPr>
        <w:t>应事先告知被服务区域管理</w:t>
      </w:r>
      <w:r>
        <w:rPr>
          <w:rFonts w:ascii="宋体" w:hAnsi="宋体" w:cs="宋体"/>
          <w:color w:val="000000"/>
          <w:sz w:val="24"/>
          <w:szCs w:val="24"/>
        </w:rPr>
        <w:t>人员</w:t>
      </w:r>
      <w:r>
        <w:rPr>
          <w:rFonts w:hint="eastAsia" w:ascii="宋体" w:hAnsi="宋体" w:cs="宋体"/>
          <w:color w:val="000000"/>
          <w:sz w:val="24"/>
          <w:szCs w:val="24"/>
        </w:rPr>
        <w:t>，以便做好相关准备工作，利于药物投放等服务</w:t>
      </w:r>
      <w:r>
        <w:rPr>
          <w:rFonts w:ascii="宋体" w:hAnsi="宋体" w:cs="宋体"/>
          <w:color w:val="000000"/>
          <w:sz w:val="24"/>
          <w:szCs w:val="24"/>
        </w:rPr>
        <w:t>的</w:t>
      </w:r>
      <w:r>
        <w:rPr>
          <w:rFonts w:hint="eastAsia" w:ascii="宋体" w:hAnsi="宋体" w:cs="宋体"/>
          <w:color w:val="000000"/>
          <w:sz w:val="24"/>
          <w:szCs w:val="24"/>
        </w:rPr>
        <w:t>顺利开展。</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2、中标</w:t>
      </w:r>
      <w:r>
        <w:rPr>
          <w:rFonts w:hint="eastAsia" w:ascii="宋体" w:hAnsi="宋体" w:cs="宋体"/>
          <w:color w:val="000000"/>
          <w:sz w:val="24"/>
          <w:szCs w:val="24"/>
          <w:lang w:eastAsia="zh-CN"/>
        </w:rPr>
        <w:t>供应商</w:t>
      </w:r>
      <w:r>
        <w:rPr>
          <w:rFonts w:hint="eastAsia" w:ascii="宋体" w:hAnsi="宋体" w:cs="宋体"/>
          <w:color w:val="000000"/>
          <w:sz w:val="24"/>
          <w:szCs w:val="24"/>
        </w:rPr>
        <w:t>应提供高效、低毒、低残留，对环境、人身、食品无害的控虫药饵，必须采用正规厂家生产的，且具备药物三证（农药登记证、生产许可证、MSDS化学品安全说明书），服务时严格按照药剂、药饵使用说明，规范操作。</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3、中标</w:t>
      </w:r>
      <w:r>
        <w:rPr>
          <w:rFonts w:hint="eastAsia" w:ascii="宋体" w:hAnsi="宋体" w:cs="宋体"/>
          <w:color w:val="000000"/>
          <w:sz w:val="24"/>
          <w:szCs w:val="24"/>
          <w:lang w:eastAsia="zh-CN"/>
        </w:rPr>
        <w:t>供应商</w:t>
      </w:r>
      <w:r>
        <w:rPr>
          <w:rFonts w:hint="eastAsia" w:ascii="宋体" w:hAnsi="宋体" w:cs="宋体"/>
          <w:color w:val="000000"/>
          <w:sz w:val="24"/>
          <w:szCs w:val="24"/>
        </w:rPr>
        <w:t>开展控虫服务时，应出具控虫联系单，该联系单应注明控虫区域的具体地点、放药的点位数量、药品名称、注意事项等内容，服务完成后，通知项目单位指定的该区域负责人参与验收，验收合格，在联系单上签字，验收不合格，由潜在</w:t>
      </w:r>
      <w:r>
        <w:rPr>
          <w:rFonts w:hint="eastAsia" w:ascii="宋体" w:hAnsi="宋体" w:cs="宋体"/>
          <w:color w:val="000000"/>
          <w:sz w:val="24"/>
          <w:szCs w:val="24"/>
          <w:lang w:eastAsia="zh-CN"/>
        </w:rPr>
        <w:t>中标供应商</w:t>
      </w:r>
      <w:r>
        <w:rPr>
          <w:rFonts w:hint="eastAsia" w:ascii="宋体" w:hAnsi="宋体" w:cs="宋体"/>
          <w:color w:val="000000"/>
          <w:sz w:val="24"/>
          <w:szCs w:val="24"/>
        </w:rPr>
        <w:t>负责整改到位。</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4、常规性服务频次</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依据各区域环境特点、不同害虫活动特性，进行特定投放，采取有针对性的防控措施，防患于未然，消除虫害隐患。</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（1）5月份-10月份每个区域潜在</w:t>
      </w:r>
      <w:r>
        <w:rPr>
          <w:rFonts w:hint="eastAsia" w:ascii="宋体" w:hAnsi="宋体" w:cs="宋体"/>
          <w:color w:val="000000"/>
          <w:sz w:val="24"/>
          <w:szCs w:val="24"/>
          <w:lang w:eastAsia="zh-CN"/>
        </w:rPr>
        <w:t>中标供应商</w:t>
      </w:r>
      <w:r>
        <w:rPr>
          <w:rFonts w:hint="eastAsia" w:ascii="宋体" w:hAnsi="宋体" w:cs="宋体"/>
          <w:color w:val="000000"/>
          <w:sz w:val="24"/>
          <w:szCs w:val="24"/>
        </w:rPr>
        <w:t>每月至少提供4次控虫技术服务。</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（2）11月份-次年4月份每个区域潜在</w:t>
      </w:r>
      <w:r>
        <w:rPr>
          <w:rFonts w:hint="eastAsia" w:ascii="宋体" w:hAnsi="宋体" w:cs="宋体"/>
          <w:color w:val="000000"/>
          <w:sz w:val="24"/>
          <w:szCs w:val="24"/>
          <w:lang w:eastAsia="zh-CN"/>
        </w:rPr>
        <w:t>中标供应商</w:t>
      </w:r>
      <w:r>
        <w:rPr>
          <w:rFonts w:hint="eastAsia" w:ascii="宋体" w:hAnsi="宋体" w:cs="宋体"/>
          <w:color w:val="000000"/>
          <w:sz w:val="24"/>
          <w:szCs w:val="24"/>
        </w:rPr>
        <w:t>每月至少提供2次控虫技术服务。</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（3）灭鼠类投放：鼠类繁殖高峰季节4月和10月，每个区域开展3次防治工作，其余时间每月开展2次防治工作。</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（4）发生虫害时，不仅限于日常服务次数，12小时内到达现场或双方约定时间内到达现场消除虫害，直至虫害消除为止。</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5、突发性服务要求</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若发生突发性虫害情况，潜在</w:t>
      </w:r>
      <w:r>
        <w:rPr>
          <w:rFonts w:hint="eastAsia" w:ascii="宋体" w:hAnsi="宋体" w:cs="宋体"/>
          <w:color w:val="000000"/>
          <w:sz w:val="24"/>
          <w:szCs w:val="24"/>
          <w:lang w:eastAsia="zh-CN"/>
        </w:rPr>
        <w:t>中标供应商</w:t>
      </w:r>
      <w:r>
        <w:rPr>
          <w:rFonts w:hint="eastAsia" w:ascii="宋体" w:hAnsi="宋体" w:cs="宋体"/>
          <w:color w:val="000000"/>
          <w:sz w:val="24"/>
          <w:szCs w:val="24"/>
        </w:rPr>
        <w:t>应及时跟踪，加强药剂、药饵投放力度，直至虫害消除为止。</w:t>
      </w:r>
    </w:p>
    <w:p>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6、服务质量应达到国家虫害防治的相关控虫技术规范要求。</w:t>
      </w:r>
    </w:p>
    <w:p>
      <w:pPr>
        <w:pStyle w:val="2"/>
        <w:ind w:firstLine="210"/>
        <w:rPr>
          <w:rFonts w:hint="eastAsia"/>
        </w:rPr>
      </w:pPr>
    </w:p>
    <w:p>
      <w:pPr>
        <w:spacing w:line="520" w:lineRule="exac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五、</w:t>
      </w:r>
      <w:r>
        <w:rPr>
          <w:rFonts w:ascii="宋体" w:hAnsi="宋体"/>
          <w:b/>
          <w:color w:val="000000" w:themeColor="text1"/>
          <w:sz w:val="24"/>
          <w:szCs w:val="24"/>
          <w14:textFill>
            <w14:solidFill>
              <w14:schemeClr w14:val="tx1"/>
            </w14:solidFill>
          </w14:textFill>
        </w:rPr>
        <w:t>控虫技术规范</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（一）灭鼠的技术规范</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1、灭鼠药物和操作流程</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（1）药物：巴斯夫杀它仗</w:t>
      </w:r>
      <w:r>
        <w:rPr>
          <w:rFonts w:ascii="宋体" w:hAnsi="宋体" w:cs="宋体"/>
          <w:color w:val="000000" w:themeColor="text1"/>
          <w:sz w:val="24"/>
          <w:szCs w:val="24"/>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（2）设备：另辅以粘鼠胶、捕鼠笼、鼠夹等器械加以捕杀。</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（3）操作流程：</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a、在室内布放20cm×20cm滑石粉块，晚布晨查，统计室内的鼠密度。</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b、在室外使用第二代抗凝血灭鼠剂溴敌隆（5/100000），设立诱饵站，每10米一个，鼠洞投放巴斯夫杀它仗，以杀灭洞中的残余鼠，下水道及各类管道的窨井口放置巴斯夫杀它仗，杀灭鼠害。</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c、在室内为防止死鼠腐烂、发臭，确保场所环保、安全，采用粘鼠胶、捕鼠笼、鼠夹等器械以物理防治方法进行防治。</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d、在每年的4月和10月鼠类繁殖高峰季节，每月开展3次防治工作，其余时间每月开展</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次防治工作。</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2、灭鼠质控</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灭鼠后的密度必须符合国家规定的考核标准：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（1）15平方米的标准间布放20 X 20cm滑石粉块两块，一夜的阳性粉块不超过3%。</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（2）灭鼠后有鼠洞、鼠粪、鼠咬痕等鼠迹的房间不超过2%。</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（3）由信息员定期或者不定期检查公司内的鼠害情况，发现超标立即进行灭杀。</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（二）灭蟑螂的技术规范</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1、灭蟑螂药物和操作流程</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（1）采用化学药剂（</w:t>
      </w:r>
      <w:r>
        <w:rPr>
          <w:rFonts w:hint="eastAsia" w:ascii="宋体" w:hAnsi="宋体" w:cs="宋体"/>
          <w:color w:val="333333"/>
          <w:kern w:val="0"/>
          <w:sz w:val="24"/>
          <w:szCs w:val="24"/>
          <w:lang w:bidi="ar"/>
        </w:rPr>
        <w:t>奋斗呐</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333333"/>
          <w:kern w:val="0"/>
          <w:sz w:val="24"/>
          <w:szCs w:val="24"/>
          <w:lang w:bidi="ar"/>
        </w:rPr>
        <w:t>除敌、大灭</w:t>
      </w:r>
      <w:r>
        <w:rPr>
          <w:rFonts w:hint="eastAsia" w:ascii="宋体" w:hAnsi="宋体" w:cs="宋体"/>
          <w:color w:val="000000" w:themeColor="text1"/>
          <w:sz w:val="24"/>
          <w:szCs w:val="24"/>
          <w14:textFill>
            <w14:solidFill>
              <w14:schemeClr w14:val="tx1"/>
            </w14:solidFill>
          </w14:textFill>
        </w:rPr>
        <w:t>），对服务区域进行滞留喷洒每月2次，高峰期（4—11月）酌情增加服务次数或加大剂量。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（2）不宜喷洒药物的区域，用</w:t>
      </w:r>
      <w:r>
        <w:rPr>
          <w:rFonts w:hint="eastAsia" w:ascii="宋体" w:hAnsi="宋体" w:cs="宋体"/>
          <w:color w:val="333333"/>
          <w:kern w:val="0"/>
          <w:sz w:val="24"/>
          <w:szCs w:val="24"/>
          <w:lang w:bidi="ar"/>
        </w:rPr>
        <w:t>施杰胶饵、速克力胶饵、绿叶杀蟑螂粉剂</w:t>
      </w:r>
      <w:r>
        <w:rPr>
          <w:rFonts w:hint="eastAsia" w:ascii="宋体" w:hAnsi="宋体" w:cs="宋体"/>
          <w:color w:val="000000" w:themeColor="text1"/>
          <w:sz w:val="24"/>
          <w:szCs w:val="24"/>
          <w14:textFill>
            <w14:solidFill>
              <w14:schemeClr w14:val="tx1"/>
            </w14:solidFill>
          </w14:textFill>
        </w:rPr>
        <w:t>等进行维护防治，定期检查补漏，以达到长期控制效果。</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（3）对于不宜施放胃毒型颗粒剂的区域，从美观角度出发，采用</w:t>
      </w:r>
      <w:r>
        <w:rPr>
          <w:rFonts w:hint="eastAsia" w:ascii="宋体" w:hAnsi="宋体" w:cs="宋体"/>
          <w:color w:val="333333"/>
          <w:kern w:val="0"/>
          <w:sz w:val="24"/>
          <w:szCs w:val="24"/>
          <w:lang w:bidi="ar"/>
        </w:rPr>
        <w:t>施杰胶饵、速克力胶饵</w:t>
      </w:r>
      <w:r>
        <w:rPr>
          <w:rFonts w:hint="eastAsia" w:ascii="宋体" w:hAnsi="宋体" w:cs="宋体"/>
          <w:color w:val="000000" w:themeColor="text1"/>
          <w:sz w:val="24"/>
          <w:szCs w:val="24"/>
          <w14:textFill>
            <w14:solidFill>
              <w14:schemeClr w14:val="tx1"/>
            </w14:solidFill>
          </w14:textFill>
        </w:rPr>
        <w:t>灭蟑胶饵进行防治。</w:t>
      </w:r>
    </w:p>
    <w:p>
      <w:pPr>
        <w:rPr>
          <w:rFonts w:ascii="宋体" w:hAnsi="宋体"/>
          <w:sz w:val="24"/>
          <w:szCs w:val="24"/>
        </w:rPr>
      </w:pPr>
      <w:r>
        <w:rPr>
          <w:rFonts w:hint="eastAsia" w:ascii="宋体" w:hAnsi="宋体" w:cs="宋体"/>
          <w:color w:val="000000" w:themeColor="text1"/>
          <w:sz w:val="24"/>
          <w:szCs w:val="24"/>
          <w14:textFill>
            <w14:solidFill>
              <w14:schemeClr w14:val="tx1"/>
            </w14:solidFill>
          </w14:textFill>
        </w:rPr>
        <w:t>（4）对于下水道采用</w:t>
      </w:r>
      <w:r>
        <w:rPr>
          <w:rFonts w:hint="eastAsia" w:ascii="宋体" w:hAnsi="宋体" w:cs="宋体"/>
          <w:color w:val="333333"/>
          <w:kern w:val="0"/>
          <w:sz w:val="24"/>
          <w:szCs w:val="24"/>
          <w:lang w:bidi="ar"/>
        </w:rPr>
        <w:t>除敌</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333333"/>
          <w:kern w:val="0"/>
          <w:sz w:val="24"/>
          <w:szCs w:val="24"/>
          <w:lang w:bidi="ar"/>
        </w:rPr>
        <w:t>奋斗呐</w:t>
      </w:r>
      <w:r>
        <w:rPr>
          <w:rFonts w:hint="eastAsia" w:ascii="宋体" w:hAnsi="宋体"/>
          <w:sz w:val="24"/>
          <w:szCs w:val="24"/>
        </w:rPr>
        <w:t>等药品进行防治</w:t>
      </w:r>
      <w:r>
        <w:rPr>
          <w:rFonts w:hint="eastAsia" w:ascii="宋体" w:hAnsi="宋体" w:cs="宋体"/>
          <w:color w:val="000000" w:themeColor="text1"/>
          <w:sz w:val="24"/>
          <w:szCs w:val="24"/>
          <w14:textFill>
            <w14:solidFill>
              <w14:schemeClr w14:val="tx1"/>
            </w14:solidFill>
          </w14:textFill>
        </w:rPr>
        <w:t>，增加蟑螂接触药剂机会，提高杀灭效果。</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2、灭蟑质控</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（1）以“药激法”监测蟑螂的分布。实施方法：采用含0.3%氯氰菊酯喷射于蟑螂容易栖息的物品及物品、门、文件柜等缝隙中，5分钟后查看蟑螂的激出数量，进行统计计算蟑螂密度。</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（2）以“粘捕法”测定侵害重点部位蟑螂的种群分布和种类。实施方法：在室内布放10cm</w:t>
      </w:r>
      <w:r>
        <w:rPr>
          <w:rFonts w:ascii="Segoe UI Symbol" w:hAnsi="Segoe UI Symbol" w:cs="Segoe UI Symbol"/>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18cm的蟑螂诱集屋，晚放晨查，对捕获的蟑螂进行鉴定，了解蟑螂的种以及空间分布特点。</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（3）室内有蟑螂成虫或若虫阳性房间不超过3%，平均每间房大蠊不超过5只，小蠊不超过10只。</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（4）有活蟑螂卵鞘房间不超过2%，平均每间房不超过4只。</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（5）有蟑螂粪便、蜕皮等痕迹的房间不超过5%。</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（三）灭苍蝇的技术规范</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1、灭蝇药物和操作流程</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（1）采用德国巴斯夫</w:t>
      </w:r>
      <w:r>
        <w:rPr>
          <w:rFonts w:hint="eastAsia" w:ascii="宋体" w:hAnsi="宋体" w:cs="宋体"/>
          <w:color w:val="333333"/>
          <w:kern w:val="0"/>
          <w:sz w:val="24"/>
          <w:szCs w:val="24"/>
          <w:lang w:bidi="ar"/>
        </w:rPr>
        <w:t>奋斗呐1</w:t>
      </w:r>
      <w:r>
        <w:rPr>
          <w:rFonts w:ascii="宋体" w:hAnsi="宋体" w:cs="宋体"/>
          <w:color w:val="333333"/>
          <w:kern w:val="0"/>
          <w:sz w:val="24"/>
          <w:szCs w:val="24"/>
          <w:lang w:bidi="ar"/>
        </w:rPr>
        <w:t>0%</w:t>
      </w:r>
      <w:r>
        <w:rPr>
          <w:rFonts w:hint="eastAsia" w:ascii="宋体" w:hAnsi="宋体" w:cs="宋体"/>
          <w:color w:val="333333"/>
          <w:kern w:val="0"/>
          <w:sz w:val="24"/>
          <w:szCs w:val="24"/>
          <w:lang w:bidi="ar"/>
        </w:rPr>
        <w:t>悬浮</w:t>
      </w:r>
      <w:r>
        <w:rPr>
          <w:rFonts w:hint="eastAsia" w:ascii="宋体" w:hAnsi="宋体" w:cs="宋体"/>
          <w:color w:val="000000" w:themeColor="text1"/>
          <w:sz w:val="24"/>
          <w:szCs w:val="24"/>
          <w14:textFill>
            <w14:solidFill>
              <w14:schemeClr w14:val="tx1"/>
            </w14:solidFill>
          </w14:textFill>
        </w:rPr>
        <w:t>剂和</w:t>
      </w:r>
      <w:r>
        <w:rPr>
          <w:rFonts w:hint="eastAsia" w:ascii="宋体" w:hAnsi="宋体" w:cs="宋体"/>
          <w:color w:val="333333"/>
          <w:kern w:val="0"/>
          <w:sz w:val="24"/>
          <w:szCs w:val="24"/>
          <w:lang w:bidi="ar"/>
        </w:rPr>
        <w:t>除敌溴氰菊酯</w:t>
      </w:r>
      <w:r>
        <w:rPr>
          <w:rFonts w:hint="eastAsia" w:ascii="宋体" w:hAnsi="宋体" w:cs="宋体"/>
          <w:color w:val="000000" w:themeColor="text1"/>
          <w:sz w:val="24"/>
          <w:szCs w:val="24"/>
          <w14:textFill>
            <w14:solidFill>
              <w14:schemeClr w14:val="tx1"/>
            </w14:solidFill>
          </w14:textFill>
        </w:rPr>
        <w:t>悬浮剂（交替轮换，除有特殊要求的其他区域进行喷洒，每平方米50~60ml，每月2次，高峰期酌情增加，其他区域辅以物理方法（如毒蝇绳、粘蝇纸、灭蝇诱饵等）所密度控制在国家标准内。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（2）对重点区域外环境采用大灭进行喷洒，每月2~3次，高峰期（5~7月和9~11月）适当增加施药次数和剂量。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（3）蝇幼、蛹：对重点区域内蝇幼、蛹孳生物（如垃圾桶、卫生间、下水系统口），采用0.5%马拉硫磷、0.5%倍硫磷（如：安备灭蚴剂）交替喷洒，每平方米500ml,每两周一次。</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（4）外环境蝇幼、蛹孳生地采用0.5%马拉磷硫，1%7504交替轮换进行喷洒或泼洒，每平方米500ml，每两周一次。</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2、灭蝇质控</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以东、西、南、北为原则，抽检四个监测点，每个监测点选择摆放诱蝇粘纸3片，根据捕获的蝇类了解蝇种、优势种。查找蝇类孳生繁殖场所，掌握防治区域的各类孳生场所的种类及数量：如封闭垃圾箱、卫生间、绿化带、建筑物周围污物等蝇类孳生场所。</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（2）防蝇设施的调查：对大楼所有不完善的防蝇设施（纱窗、灭蝇灯）进行调查，进行存档。</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（3）服务区域内有蚊蝇房间不超过1%，防蝇设施不合格房间不超过5%；重点区域不得有蝇。</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（4）蝇类孽生地得到有效治理，幼虫和蛹的检出率不超过3%。</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（四）灭蚊的技术规范</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1、灭蚊药物和操作流程</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（1）成蚊的药物和操作流程</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a、主要采用20%拜力坦、1.25%拜虫杀、0.03—0.04%奋斗呐、都灭5%悬乳剂、0.04%高效氯氰菊酯、BS—10生物杀虫剂等多种由世界卫生组织（WHO）推荐使用于防治卫生害虫的原药配剂进行外环境喷洒。</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b、在蚊子活动高峰期（5月下旬、6月上旬、6月中旬、9月下旬、10月下旬）等蚊子群舞期间，对有特殊要求的区域选用拟除虫菊酯类药物的复配液，用超低容量进行空间喷洒，降低成蚊密度。</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c、全年中的其他时段，对甲方管辖区域等采用5%美国陶氏益农的琚美可湿性粉剂兑水100-200倍后作滞留喷洒和停留面喷洒，每平方米50-60ml，每月2-3次，高峰期酌情增加，根据虫情消长情况而定。</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（2）蚊幼、蛹</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a、化学治理：对（非饮用水）投放灭蚊幼缓释剂，每平方米2克每月一次；外环境窨井悬挂灭蚊幼缓释块，每月1-2次，高峰期酌情增加剂量。</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b、生物治理：在不适宜化学治理的区域采用生物杀虫剂苏云金杆菌、球型芽胞杆菌。</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c、环境治理：对生活垃圾做到日产日清，及时处理各种积水，对于蓄水池、盆景、水箱等，要勤换水清洗，保持清洁度。</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2、灭蚊质控</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（1）采用电子吸蚊器对重点区域各个侵害部位的成蚊进行捕获，并对蚊虫进行分类建立资料。</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（2）单位外环境各种存水容器和积水中，蚊幼虫及蛹的阳性率不超过3%。</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（3）服务区域白天诱蚊30分钟，平均每人次诱获成蚊数不超过1只。</w:t>
      </w:r>
    </w:p>
    <w:p>
      <w:pPr>
        <w:spacing w:line="520" w:lineRule="exact"/>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六</w:t>
      </w:r>
      <w:r>
        <w:rPr>
          <w:b/>
          <w:color w:val="000000" w:themeColor="text1"/>
          <w:sz w:val="24"/>
          <w:szCs w:val="24"/>
          <w14:textFill>
            <w14:solidFill>
              <w14:schemeClr w14:val="tx1"/>
            </w14:solidFill>
          </w14:textFill>
        </w:rPr>
        <w:t>、</w:t>
      </w:r>
      <w:r>
        <w:rPr>
          <w:rFonts w:hint="eastAsia"/>
          <w:b/>
          <w:color w:val="000000" w:themeColor="text1"/>
          <w:sz w:val="24"/>
          <w:szCs w:val="24"/>
          <w14:textFill>
            <w14:solidFill>
              <w14:schemeClr w14:val="tx1"/>
            </w14:solidFill>
          </w14:textFill>
        </w:rPr>
        <w:t>约定事项</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1、费用支付方式，按半年结算一次，先服务后结算。</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中标供应商</w:t>
      </w:r>
      <w:r>
        <w:rPr>
          <w:rFonts w:hint="eastAsia" w:ascii="宋体" w:hAnsi="宋体" w:cs="宋体"/>
          <w:color w:val="000000" w:themeColor="text1"/>
          <w:sz w:val="24"/>
          <w:szCs w:val="24"/>
          <w14:textFill>
            <w14:solidFill>
              <w14:schemeClr w14:val="tx1"/>
            </w14:solidFill>
          </w14:textFill>
        </w:rPr>
        <w:t>应独立完成整个项目，不得以任何形式进行转包或内部分包。</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中标供应商</w:t>
      </w:r>
      <w:r>
        <w:rPr>
          <w:rFonts w:hint="eastAsia" w:ascii="宋体" w:hAnsi="宋体" w:cs="宋体"/>
          <w:color w:val="000000" w:themeColor="text1"/>
          <w:sz w:val="24"/>
          <w:szCs w:val="24"/>
          <w14:textFill>
            <w14:solidFill>
              <w14:schemeClr w14:val="tx1"/>
            </w14:solidFill>
          </w14:textFill>
        </w:rPr>
        <w:t>及其项目参与人员应对在合同履行过程中了解到的涉及到业主方技术信息、经验信息、商业秘密以及其他尚未公开的有关信息、资料负有保密义务，并采取相应的保密措施。</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中标供应商</w:t>
      </w:r>
      <w:r>
        <w:rPr>
          <w:rFonts w:hint="eastAsia" w:ascii="宋体" w:hAnsi="宋体" w:cs="宋体"/>
          <w:color w:val="000000" w:themeColor="text1"/>
          <w:sz w:val="24"/>
          <w:szCs w:val="24"/>
          <w14:textFill>
            <w14:solidFill>
              <w14:schemeClr w14:val="tx1"/>
            </w14:solidFill>
          </w14:textFill>
        </w:rPr>
        <w:t>应严格遵守项目单位相关</w:t>
      </w:r>
      <w:r>
        <w:rPr>
          <w:rFonts w:ascii="宋体" w:hAnsi="宋体" w:cs="宋体"/>
          <w:color w:val="000000" w:themeColor="text1"/>
          <w:sz w:val="24"/>
          <w:szCs w:val="24"/>
          <w14:textFill>
            <w14:solidFill>
              <w14:schemeClr w14:val="tx1"/>
            </w14:solidFill>
          </w14:textFill>
        </w:rPr>
        <w:t>管理制度</w:t>
      </w:r>
      <w:r>
        <w:rPr>
          <w:rFonts w:hint="eastAsia" w:ascii="宋体" w:hAnsi="宋体" w:cs="宋体"/>
          <w:color w:val="000000" w:themeColor="text1"/>
          <w:sz w:val="24"/>
          <w:szCs w:val="24"/>
          <w14:textFill>
            <w14:solidFill>
              <w14:schemeClr w14:val="tx1"/>
            </w14:solidFill>
          </w14:textFill>
        </w:rPr>
        <w:t>，在作业过程中做好安全防范措施，并承担相应安全责任。</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中标供应商</w:t>
      </w:r>
      <w:r>
        <w:rPr>
          <w:rFonts w:hint="eastAsia" w:ascii="宋体" w:hAnsi="宋体" w:cs="宋体"/>
          <w:color w:val="000000" w:themeColor="text1"/>
          <w:sz w:val="24"/>
          <w:szCs w:val="24"/>
          <w14:textFill>
            <w14:solidFill>
              <w14:schemeClr w14:val="tx1"/>
            </w14:solidFill>
          </w14:textFill>
        </w:rPr>
        <w:t>应加强员工的业务技能、安全知识等培训工作，提高员工自身综合素质，熟悉控虫药剂、药饵特性，防止药物污染人员、食品、环境的可能性。</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6、在合同执行期间，潜在</w:t>
      </w:r>
      <w:r>
        <w:rPr>
          <w:rFonts w:hint="eastAsia" w:ascii="宋体" w:hAnsi="宋体" w:cs="宋体"/>
          <w:color w:val="000000" w:themeColor="text1"/>
          <w:sz w:val="24"/>
          <w:szCs w:val="24"/>
          <w:lang w:eastAsia="zh-CN"/>
          <w14:textFill>
            <w14:solidFill>
              <w14:schemeClr w14:val="tx1"/>
            </w14:solidFill>
          </w14:textFill>
        </w:rPr>
        <w:t>中标供应商</w:t>
      </w:r>
      <w:r>
        <w:rPr>
          <w:rFonts w:hint="eastAsia" w:ascii="宋体" w:hAnsi="宋体" w:cs="宋体"/>
          <w:color w:val="000000" w:themeColor="text1"/>
          <w:sz w:val="24"/>
          <w:szCs w:val="24"/>
          <w14:textFill>
            <w14:solidFill>
              <w14:schemeClr w14:val="tx1"/>
            </w14:solidFill>
          </w14:textFill>
        </w:rPr>
        <w:t>需严格要求工作人员，服从项目单位日常管理要求。</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、项目单位有监督潜在</w:t>
      </w:r>
      <w:r>
        <w:rPr>
          <w:rFonts w:hint="eastAsia" w:ascii="宋体" w:hAnsi="宋体" w:cs="宋体"/>
          <w:color w:val="000000" w:themeColor="text1"/>
          <w:sz w:val="24"/>
          <w:szCs w:val="24"/>
          <w:lang w:eastAsia="zh-CN"/>
          <w14:textFill>
            <w14:solidFill>
              <w14:schemeClr w14:val="tx1"/>
            </w14:solidFill>
          </w14:textFill>
        </w:rPr>
        <w:t>中标供应商</w:t>
      </w:r>
      <w:r>
        <w:rPr>
          <w:rFonts w:hint="eastAsia" w:ascii="宋体" w:hAnsi="宋体" w:cs="宋体"/>
          <w:color w:val="000000" w:themeColor="text1"/>
          <w:sz w:val="24"/>
          <w:szCs w:val="24"/>
          <w14:textFill>
            <w14:solidFill>
              <w14:schemeClr w14:val="tx1"/>
            </w14:solidFill>
          </w14:textFill>
        </w:rPr>
        <w:t>服务质量的权利,对服务质量不达标的现象，潜在</w:t>
      </w:r>
      <w:r>
        <w:rPr>
          <w:rFonts w:hint="eastAsia" w:ascii="宋体" w:hAnsi="宋体" w:cs="宋体"/>
          <w:color w:val="000000" w:themeColor="text1"/>
          <w:sz w:val="24"/>
          <w:szCs w:val="24"/>
          <w:lang w:eastAsia="zh-CN"/>
          <w14:textFill>
            <w14:solidFill>
              <w14:schemeClr w14:val="tx1"/>
            </w14:solidFill>
          </w14:textFill>
        </w:rPr>
        <w:t>中标供应商</w:t>
      </w:r>
      <w:r>
        <w:rPr>
          <w:rFonts w:hint="eastAsia" w:ascii="宋体" w:hAnsi="宋体" w:cs="宋体"/>
          <w:color w:val="000000" w:themeColor="text1"/>
          <w:sz w:val="24"/>
          <w:szCs w:val="24"/>
          <w14:textFill>
            <w14:solidFill>
              <w14:schemeClr w14:val="tx1"/>
            </w14:solidFill>
          </w14:textFill>
        </w:rPr>
        <w:t>应及时整改。</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中标供应商</w:t>
      </w:r>
      <w:r>
        <w:rPr>
          <w:rFonts w:hint="eastAsia" w:ascii="宋体" w:hAnsi="宋体" w:cs="宋体"/>
          <w:color w:val="000000" w:themeColor="text1"/>
          <w:sz w:val="24"/>
          <w:szCs w:val="24"/>
          <w14:textFill>
            <w14:solidFill>
              <w14:schemeClr w14:val="tx1"/>
            </w14:solidFill>
          </w14:textFill>
        </w:rPr>
        <w:t>负责加强员工安全生产教育和安全培训，进入工作现场前应做好安全交底工作，承担人员和设备安全责任。</w:t>
      </w:r>
    </w:p>
    <w:p>
      <w:pPr>
        <w:spacing w:line="520" w:lineRule="exact"/>
        <w:rPr>
          <w:rFonts w:hint="eastAsia" w:eastAsia="宋体"/>
          <w:b/>
          <w:color w:val="000000" w:themeColor="text1"/>
          <w:sz w:val="24"/>
          <w:szCs w:val="24"/>
          <w:lang w:val="en-US" w:eastAsia="zh-CN"/>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七</w:t>
      </w:r>
      <w:r>
        <w:rPr>
          <w:b/>
          <w:color w:val="000000" w:themeColor="text1"/>
          <w:sz w:val="24"/>
          <w:szCs w:val="24"/>
          <w14:textFill>
            <w14:solidFill>
              <w14:schemeClr w14:val="tx1"/>
            </w14:solidFill>
          </w14:textFill>
        </w:rPr>
        <w:t>、</w:t>
      </w:r>
      <w:r>
        <w:rPr>
          <w:rFonts w:hint="eastAsia"/>
          <w:b/>
          <w:color w:val="000000" w:themeColor="text1"/>
          <w:sz w:val="24"/>
          <w:szCs w:val="24"/>
          <w:lang w:val="en-US" w:eastAsia="zh-CN"/>
          <w14:textFill>
            <w14:solidFill>
              <w14:schemeClr w14:val="tx1"/>
            </w14:solidFill>
          </w14:textFill>
        </w:rPr>
        <w:t>其他</w:t>
      </w:r>
    </w:p>
    <w:p>
      <w:pPr>
        <w:spacing w:line="360" w:lineRule="auto"/>
        <w:ind w:firstLine="480" w:firstLineChars="200"/>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1、中标供应商未按要求操作，甲方有权立即终止合作，产生的相关费用自行承担；</w:t>
      </w:r>
    </w:p>
    <w:p>
      <w:pPr>
        <w:spacing w:line="360" w:lineRule="auto"/>
        <w:ind w:firstLine="480" w:firstLineChars="200"/>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2、采购需求内和注意事项中的证件必须提供，提供不全者视为不符合资格审查。</w:t>
      </w:r>
    </w:p>
    <w:p>
      <w:pPr>
        <w:spacing w:line="480" w:lineRule="auto"/>
        <w:rPr>
          <w:rFonts w:ascii="宋体" w:hAnsi="宋体"/>
          <w:color w:val="000000" w:themeColor="text1"/>
          <w:szCs w:val="21"/>
          <w14:textFill>
            <w14:solidFill>
              <w14:schemeClr w14:val="tx1"/>
            </w14:solidFill>
          </w14:textFill>
        </w:rPr>
      </w:pPr>
    </w:p>
    <w:p>
      <w:pPr>
        <w:pStyle w:val="2"/>
        <w:ind w:firstLine="210"/>
        <w:rPr>
          <w:rFonts w:ascii="宋体" w:hAnsi="宋体"/>
          <w:color w:val="000000" w:themeColor="text1"/>
          <w:szCs w:val="21"/>
          <w14:textFill>
            <w14:solidFill>
              <w14:schemeClr w14:val="tx1"/>
            </w14:solidFill>
          </w14:textFill>
        </w:rPr>
      </w:pPr>
    </w:p>
    <w:p>
      <w:pPr>
        <w:pStyle w:val="2"/>
        <w:ind w:firstLine="210"/>
        <w:rPr>
          <w:rFonts w:ascii="宋体" w:hAnsi="宋体"/>
          <w:color w:val="000000" w:themeColor="text1"/>
          <w:szCs w:val="21"/>
          <w14:textFill>
            <w14:solidFill>
              <w14:schemeClr w14:val="tx1"/>
            </w14:solidFill>
          </w14:textFill>
        </w:rPr>
      </w:pPr>
    </w:p>
    <w:p>
      <w:pPr>
        <w:pStyle w:val="2"/>
        <w:ind w:firstLine="0" w:firstLineChars="0"/>
        <w:rPr>
          <w:rFonts w:ascii="宋体" w:hAnsi="宋体"/>
          <w:color w:val="000000" w:themeColor="text1"/>
          <w:szCs w:val="21"/>
          <w14:textFill>
            <w14:solidFill>
              <w14:schemeClr w14:val="tx1"/>
            </w14:solidFill>
          </w14:textFill>
        </w:rPr>
      </w:pPr>
    </w:p>
    <w:sectPr>
      <w:footerReference r:id="rId3" w:type="default"/>
      <w:pgSz w:w="11906" w:h="16838"/>
      <w:pgMar w:top="1157" w:right="1519" w:bottom="1157" w:left="1519"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6</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fLB9ABAACh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y6RO&#10;H7CiovtAZXF454dUOcWRgon00IJNX6LDKE/anq/aqiEymS6tV+t1SSlJudkhnOLxegCM75W3LBk1&#10;B3q8rKk4fcQ4ls4lqZvzd9oYiovKONbX/M3N6iZfuGYI3DjqkUiMwyYrDvthYrD3zZmI9bQANXe0&#10;75yZD470TbsyGzAb+9k4BtCHjmZc5n4Y3h4jTZOHTB1G2KkxvVymOW1ZWo2//Vz1+Gdt/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9afLB9ABAAChAwAADgAAAAAAAAABACAAAAAeAQAAZHJz&#10;L2Uyb0RvYy54bWxQSwUGAAAAAAYABgBZAQAAYAUAAAAA&#10;">
              <v:fill on="f" focussize="0,0"/>
              <v:stroke on="f"/>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6</w:t>
                    </w:r>
                    <w:r>
                      <w:rPr>
                        <w:sz w:val="18"/>
                      </w:rPr>
                      <w:fldChar w:fldCharType="end"/>
                    </w:r>
                    <w:r>
                      <w:rPr>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zM2JlZTBhYmQ2NDgxZjM0OGRkOGVhZGRlMmI2OTQifQ=="/>
    <w:docVar w:name="KSO_WPS_MARK_KEY" w:val="dbce3e0b-e289-4fd4-a667-ac01bad4e1f3"/>
  </w:docVars>
  <w:rsids>
    <w:rsidRoot w:val="0073284E"/>
    <w:rsid w:val="00000702"/>
    <w:rsid w:val="00003C23"/>
    <w:rsid w:val="00007D33"/>
    <w:rsid w:val="000109B3"/>
    <w:rsid w:val="000340AC"/>
    <w:rsid w:val="00036D23"/>
    <w:rsid w:val="00046016"/>
    <w:rsid w:val="0008067C"/>
    <w:rsid w:val="000E1D58"/>
    <w:rsid w:val="000E3A3A"/>
    <w:rsid w:val="000F5339"/>
    <w:rsid w:val="001136EC"/>
    <w:rsid w:val="00135B18"/>
    <w:rsid w:val="00144762"/>
    <w:rsid w:val="0018392F"/>
    <w:rsid w:val="00191FBC"/>
    <w:rsid w:val="0019267D"/>
    <w:rsid w:val="001A309E"/>
    <w:rsid w:val="001D1150"/>
    <w:rsid w:val="0020601F"/>
    <w:rsid w:val="00234F36"/>
    <w:rsid w:val="002A2170"/>
    <w:rsid w:val="002F05A7"/>
    <w:rsid w:val="003317E8"/>
    <w:rsid w:val="0034090C"/>
    <w:rsid w:val="00340BE4"/>
    <w:rsid w:val="00384111"/>
    <w:rsid w:val="003A3BD1"/>
    <w:rsid w:val="003E1373"/>
    <w:rsid w:val="003E2E7E"/>
    <w:rsid w:val="00411011"/>
    <w:rsid w:val="00433C34"/>
    <w:rsid w:val="004449C6"/>
    <w:rsid w:val="00455923"/>
    <w:rsid w:val="004658B9"/>
    <w:rsid w:val="0048392E"/>
    <w:rsid w:val="004940BD"/>
    <w:rsid w:val="0050679A"/>
    <w:rsid w:val="0058726F"/>
    <w:rsid w:val="005C1C8A"/>
    <w:rsid w:val="005C323A"/>
    <w:rsid w:val="005F10BB"/>
    <w:rsid w:val="00617B96"/>
    <w:rsid w:val="00626196"/>
    <w:rsid w:val="006552E1"/>
    <w:rsid w:val="00666473"/>
    <w:rsid w:val="006864E2"/>
    <w:rsid w:val="006B2241"/>
    <w:rsid w:val="006D53C6"/>
    <w:rsid w:val="006F0F6E"/>
    <w:rsid w:val="00710F73"/>
    <w:rsid w:val="00724D8B"/>
    <w:rsid w:val="0073284E"/>
    <w:rsid w:val="00786906"/>
    <w:rsid w:val="007A6AF3"/>
    <w:rsid w:val="007B6358"/>
    <w:rsid w:val="007C5E2D"/>
    <w:rsid w:val="007E6D8A"/>
    <w:rsid w:val="0080208C"/>
    <w:rsid w:val="0083499B"/>
    <w:rsid w:val="00840DE4"/>
    <w:rsid w:val="00846037"/>
    <w:rsid w:val="008612E0"/>
    <w:rsid w:val="0087206C"/>
    <w:rsid w:val="0088576F"/>
    <w:rsid w:val="008F1695"/>
    <w:rsid w:val="009021BC"/>
    <w:rsid w:val="00914E0B"/>
    <w:rsid w:val="00925CF7"/>
    <w:rsid w:val="00956BB9"/>
    <w:rsid w:val="00957F4C"/>
    <w:rsid w:val="00974F40"/>
    <w:rsid w:val="0099392E"/>
    <w:rsid w:val="009D44A0"/>
    <w:rsid w:val="00A05365"/>
    <w:rsid w:val="00A45615"/>
    <w:rsid w:val="00A61AED"/>
    <w:rsid w:val="00A63098"/>
    <w:rsid w:val="00A80A16"/>
    <w:rsid w:val="00A95727"/>
    <w:rsid w:val="00AA0F67"/>
    <w:rsid w:val="00AA13B5"/>
    <w:rsid w:val="00AA6B40"/>
    <w:rsid w:val="00AB317D"/>
    <w:rsid w:val="00AC547B"/>
    <w:rsid w:val="00AC7ACB"/>
    <w:rsid w:val="00B001EB"/>
    <w:rsid w:val="00B25F06"/>
    <w:rsid w:val="00B479F7"/>
    <w:rsid w:val="00B77705"/>
    <w:rsid w:val="00B96642"/>
    <w:rsid w:val="00BB307A"/>
    <w:rsid w:val="00BE0F76"/>
    <w:rsid w:val="00BF7CD6"/>
    <w:rsid w:val="00BF7EA6"/>
    <w:rsid w:val="00C07005"/>
    <w:rsid w:val="00C25231"/>
    <w:rsid w:val="00C35F3F"/>
    <w:rsid w:val="00C83764"/>
    <w:rsid w:val="00C85EA1"/>
    <w:rsid w:val="00D8041F"/>
    <w:rsid w:val="00D95234"/>
    <w:rsid w:val="00DC4C2F"/>
    <w:rsid w:val="00DE14C5"/>
    <w:rsid w:val="00DE4830"/>
    <w:rsid w:val="00DF5480"/>
    <w:rsid w:val="00E13C7E"/>
    <w:rsid w:val="00E2429C"/>
    <w:rsid w:val="00E46E4F"/>
    <w:rsid w:val="00E8074C"/>
    <w:rsid w:val="00E96056"/>
    <w:rsid w:val="00EC6C11"/>
    <w:rsid w:val="00F370D0"/>
    <w:rsid w:val="00F85A7E"/>
    <w:rsid w:val="03230A09"/>
    <w:rsid w:val="03A66065"/>
    <w:rsid w:val="03AA7003"/>
    <w:rsid w:val="03E372CD"/>
    <w:rsid w:val="04586C2B"/>
    <w:rsid w:val="04D91DA6"/>
    <w:rsid w:val="0536530E"/>
    <w:rsid w:val="054D0FA8"/>
    <w:rsid w:val="056B1DAD"/>
    <w:rsid w:val="05B15931"/>
    <w:rsid w:val="0713024A"/>
    <w:rsid w:val="07641955"/>
    <w:rsid w:val="077E2E90"/>
    <w:rsid w:val="079A6BE4"/>
    <w:rsid w:val="080A6010"/>
    <w:rsid w:val="08C53916"/>
    <w:rsid w:val="08F510E5"/>
    <w:rsid w:val="0B5E07E8"/>
    <w:rsid w:val="0BEA513E"/>
    <w:rsid w:val="0CB47FDC"/>
    <w:rsid w:val="0CC8115C"/>
    <w:rsid w:val="0D281C3C"/>
    <w:rsid w:val="0E793275"/>
    <w:rsid w:val="0F4C5728"/>
    <w:rsid w:val="0F6D30DC"/>
    <w:rsid w:val="0F724CA1"/>
    <w:rsid w:val="0FF25FA8"/>
    <w:rsid w:val="105A4B9C"/>
    <w:rsid w:val="10AB768C"/>
    <w:rsid w:val="13181CC7"/>
    <w:rsid w:val="135458B1"/>
    <w:rsid w:val="15462DBE"/>
    <w:rsid w:val="1571694F"/>
    <w:rsid w:val="159B3381"/>
    <w:rsid w:val="16950CFB"/>
    <w:rsid w:val="16F84A8B"/>
    <w:rsid w:val="17A84F41"/>
    <w:rsid w:val="18022F39"/>
    <w:rsid w:val="188A0967"/>
    <w:rsid w:val="1A1B3404"/>
    <w:rsid w:val="1A367F3A"/>
    <w:rsid w:val="1AC9681A"/>
    <w:rsid w:val="1AD9354E"/>
    <w:rsid w:val="1AF37EDC"/>
    <w:rsid w:val="1C4B3A95"/>
    <w:rsid w:val="1C67569F"/>
    <w:rsid w:val="1C7079E1"/>
    <w:rsid w:val="1D444A42"/>
    <w:rsid w:val="1E0067BC"/>
    <w:rsid w:val="1EF362EA"/>
    <w:rsid w:val="1FBB41E0"/>
    <w:rsid w:val="1FE522BA"/>
    <w:rsid w:val="215A0ECE"/>
    <w:rsid w:val="220173EC"/>
    <w:rsid w:val="22866FBD"/>
    <w:rsid w:val="24970FF6"/>
    <w:rsid w:val="24CA399E"/>
    <w:rsid w:val="25043396"/>
    <w:rsid w:val="25F958ED"/>
    <w:rsid w:val="268C22B1"/>
    <w:rsid w:val="26D8033A"/>
    <w:rsid w:val="2835717C"/>
    <w:rsid w:val="28CB401B"/>
    <w:rsid w:val="28DD6664"/>
    <w:rsid w:val="29637B46"/>
    <w:rsid w:val="29796498"/>
    <w:rsid w:val="2A500941"/>
    <w:rsid w:val="2AB8485A"/>
    <w:rsid w:val="2AD12D91"/>
    <w:rsid w:val="2B1D6EB4"/>
    <w:rsid w:val="2C3811DE"/>
    <w:rsid w:val="2CB03B88"/>
    <w:rsid w:val="2CED317F"/>
    <w:rsid w:val="2CFC373A"/>
    <w:rsid w:val="2D901D45"/>
    <w:rsid w:val="2E2476D6"/>
    <w:rsid w:val="2F964125"/>
    <w:rsid w:val="3170039E"/>
    <w:rsid w:val="335C7FF4"/>
    <w:rsid w:val="37384B15"/>
    <w:rsid w:val="377A75AD"/>
    <w:rsid w:val="37E61A57"/>
    <w:rsid w:val="3848622A"/>
    <w:rsid w:val="395A2DB0"/>
    <w:rsid w:val="3A585F5E"/>
    <w:rsid w:val="3A7B77C3"/>
    <w:rsid w:val="3A824BA6"/>
    <w:rsid w:val="3B2216C5"/>
    <w:rsid w:val="3B4A1A7E"/>
    <w:rsid w:val="3BF23166"/>
    <w:rsid w:val="3CDD679E"/>
    <w:rsid w:val="3D6775B3"/>
    <w:rsid w:val="3DF202C5"/>
    <w:rsid w:val="3E0765F3"/>
    <w:rsid w:val="3E126B6C"/>
    <w:rsid w:val="3F735F0E"/>
    <w:rsid w:val="40687689"/>
    <w:rsid w:val="40806EB9"/>
    <w:rsid w:val="409557DE"/>
    <w:rsid w:val="428565C8"/>
    <w:rsid w:val="42AA76AD"/>
    <w:rsid w:val="42B30DFD"/>
    <w:rsid w:val="433B0616"/>
    <w:rsid w:val="4379350F"/>
    <w:rsid w:val="45027084"/>
    <w:rsid w:val="451269FF"/>
    <w:rsid w:val="456B1092"/>
    <w:rsid w:val="463D0195"/>
    <w:rsid w:val="491C2324"/>
    <w:rsid w:val="4A9B6832"/>
    <w:rsid w:val="4B173965"/>
    <w:rsid w:val="4BA11F7E"/>
    <w:rsid w:val="4BD858B2"/>
    <w:rsid w:val="4C531C7E"/>
    <w:rsid w:val="4CE551F7"/>
    <w:rsid w:val="4D3B2705"/>
    <w:rsid w:val="4DD44BC1"/>
    <w:rsid w:val="4E641769"/>
    <w:rsid w:val="4EE96453"/>
    <w:rsid w:val="4F09654B"/>
    <w:rsid w:val="4F605474"/>
    <w:rsid w:val="4F626670"/>
    <w:rsid w:val="4FBA74F6"/>
    <w:rsid w:val="4FD65F94"/>
    <w:rsid w:val="50CB5A7C"/>
    <w:rsid w:val="51796771"/>
    <w:rsid w:val="51BB095D"/>
    <w:rsid w:val="522E7BE4"/>
    <w:rsid w:val="525A3438"/>
    <w:rsid w:val="52726961"/>
    <w:rsid w:val="527E0122"/>
    <w:rsid w:val="55A35689"/>
    <w:rsid w:val="56C76A28"/>
    <w:rsid w:val="575037E3"/>
    <w:rsid w:val="58261FBA"/>
    <w:rsid w:val="58611EC1"/>
    <w:rsid w:val="58643E3A"/>
    <w:rsid w:val="593D3C80"/>
    <w:rsid w:val="593E559C"/>
    <w:rsid w:val="5A3326C5"/>
    <w:rsid w:val="5A3C1126"/>
    <w:rsid w:val="5B165B33"/>
    <w:rsid w:val="5C9522CF"/>
    <w:rsid w:val="5D802EB5"/>
    <w:rsid w:val="5ED96E51"/>
    <w:rsid w:val="5EF27706"/>
    <w:rsid w:val="61282DE7"/>
    <w:rsid w:val="622B1EEB"/>
    <w:rsid w:val="629636BA"/>
    <w:rsid w:val="637331AB"/>
    <w:rsid w:val="637D4DF3"/>
    <w:rsid w:val="63F81014"/>
    <w:rsid w:val="64A869A3"/>
    <w:rsid w:val="65221674"/>
    <w:rsid w:val="667B0191"/>
    <w:rsid w:val="66A76D42"/>
    <w:rsid w:val="67973E9F"/>
    <w:rsid w:val="67A80479"/>
    <w:rsid w:val="68404B7A"/>
    <w:rsid w:val="68A00661"/>
    <w:rsid w:val="690B2401"/>
    <w:rsid w:val="6AC54844"/>
    <w:rsid w:val="6ADD1094"/>
    <w:rsid w:val="6C0228B0"/>
    <w:rsid w:val="6D4D30C6"/>
    <w:rsid w:val="6D5072B4"/>
    <w:rsid w:val="6E5A678D"/>
    <w:rsid w:val="6E902A58"/>
    <w:rsid w:val="6EAF34E3"/>
    <w:rsid w:val="6EB3655A"/>
    <w:rsid w:val="6FCF5E7A"/>
    <w:rsid w:val="701D0DA9"/>
    <w:rsid w:val="70437A77"/>
    <w:rsid w:val="70FC1FA0"/>
    <w:rsid w:val="71F97732"/>
    <w:rsid w:val="72DF5BA6"/>
    <w:rsid w:val="72ED49DA"/>
    <w:rsid w:val="731213D6"/>
    <w:rsid w:val="73CE013D"/>
    <w:rsid w:val="74266EFA"/>
    <w:rsid w:val="74C7200B"/>
    <w:rsid w:val="75173A7A"/>
    <w:rsid w:val="758634AC"/>
    <w:rsid w:val="76521A12"/>
    <w:rsid w:val="76CF50A6"/>
    <w:rsid w:val="7794340D"/>
    <w:rsid w:val="77C773DD"/>
    <w:rsid w:val="78282008"/>
    <w:rsid w:val="785D3BAD"/>
    <w:rsid w:val="786B65DD"/>
    <w:rsid w:val="78DA26BD"/>
    <w:rsid w:val="79790BC8"/>
    <w:rsid w:val="79906AE3"/>
    <w:rsid w:val="79A50873"/>
    <w:rsid w:val="79BA40E4"/>
    <w:rsid w:val="7A1811B8"/>
    <w:rsid w:val="7A191AFD"/>
    <w:rsid w:val="7AE5379E"/>
    <w:rsid w:val="7B245285"/>
    <w:rsid w:val="7C3217FE"/>
    <w:rsid w:val="7CDB2BA8"/>
    <w:rsid w:val="7CEF0EB5"/>
    <w:rsid w:val="7D314F65"/>
    <w:rsid w:val="7D5B67C5"/>
    <w:rsid w:val="7D702F06"/>
    <w:rsid w:val="7DD13FFE"/>
    <w:rsid w:val="7E3F3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qFormat/>
    <w:uiPriority w:val="0"/>
    <w:pPr>
      <w:spacing w:after="12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字符"/>
    <w:basedOn w:val="8"/>
    <w:link w:val="4"/>
    <w:semiHidden/>
    <w:qFormat/>
    <w:uiPriority w:val="0"/>
    <w:rPr>
      <w:sz w:val="18"/>
      <w:szCs w:val="18"/>
    </w:rPr>
  </w:style>
  <w:style w:type="character" w:customStyle="1" w:styleId="10">
    <w:name w:val="页眉 字符"/>
    <w:basedOn w:val="8"/>
    <w:link w:val="5"/>
    <w:semiHidden/>
    <w:qFormat/>
    <w:uiPriority w:val="0"/>
    <w:rPr>
      <w:sz w:val="18"/>
      <w:szCs w:val="18"/>
    </w:rPr>
  </w:style>
  <w:style w:type="paragraph" w:customStyle="1" w:styleId="11">
    <w:name w:val="正文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2">
    <w:name w:val="正文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3">
    <w:name w:val="正文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4">
    <w:name w:val="纯文本1"/>
    <w:basedOn w:val="1"/>
    <w:qFormat/>
    <w:uiPriority w:val="0"/>
    <w:pPr>
      <w:widowControl/>
      <w:spacing w:before="100" w:beforeAutospacing="1" w:after="100" w:afterAutospacing="1"/>
      <w:jc w:val="left"/>
    </w:pPr>
    <w:rPr>
      <w:rFonts w:hint="eastAsia" w:ascii="宋体"/>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3344</Words>
  <Characters>3482</Characters>
  <Lines>24</Lines>
  <Paragraphs>6</Paragraphs>
  <TotalTime>5</TotalTime>
  <ScaleCrop>false</ScaleCrop>
  <LinksUpToDate>false</LinksUpToDate>
  <CharactersWithSpaces>3490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2019-07-26T03:12:00Z</dcterms:created>
  <dc:creator>PC</dc:creator>
  <cp:lastModifiedBy>峥嵘</cp:lastModifiedBy>
  <cp:lastPrinted>2017-08-07T08:58:00Z</cp:lastPrinted>
  <dcterms:modified xsi:type="dcterms:W3CDTF">2023-02-15T07:48:11Z</dcterms:modified>
  <dc:title>PC</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5DCDD0A88C3D4C9F908480FCB1FFEB92</vt:lpwstr>
  </property>
</Properties>
</file>