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rPr>
          <w:rFonts w:ascii="隶书" w:hAnsi="Arial Narrow" w:eastAsia="隶书"/>
          <w:b/>
          <w:sz w:val="48"/>
          <w:szCs w:val="48"/>
        </w:rPr>
      </w:pPr>
    </w:p>
    <w:p>
      <w:pPr>
        <w:autoSpaceDE w:val="0"/>
        <w:autoSpaceDN w:val="0"/>
        <w:jc w:val="center"/>
        <w:textAlignment w:val="bottom"/>
        <w:rPr>
          <w:rFonts w:hint="eastAsia" w:ascii="宋体" w:hAnsi="宋体" w:cs="宋体"/>
          <w:b/>
          <w:bCs/>
          <w:sz w:val="84"/>
          <w:szCs w:val="84"/>
        </w:rPr>
      </w:pPr>
      <w:r>
        <w:rPr>
          <w:rFonts w:hint="eastAsia" w:ascii="宋体" w:hAnsi="宋体" w:cs="宋体"/>
          <w:b/>
          <w:bCs/>
          <w:kern w:val="0"/>
          <w:sz w:val="44"/>
          <w:szCs w:val="44"/>
        </w:rPr>
        <w:t>丽水学院共享电动车服务项目采购</w:t>
      </w:r>
      <w:r>
        <w:rPr>
          <w:rFonts w:hint="eastAsia" w:ascii="宋体" w:hAnsi="宋体" w:cs="宋体"/>
          <w:b/>
          <w:bCs/>
          <w:sz w:val="84"/>
          <w:szCs w:val="84"/>
        </w:rPr>
        <w:t xml:space="preserve"> </w:t>
      </w:r>
    </w:p>
    <w:p>
      <w:pPr>
        <w:autoSpaceDE w:val="0"/>
        <w:autoSpaceDN w:val="0"/>
        <w:ind w:right="-1418" w:rightChars="-675"/>
        <w:jc w:val="center"/>
        <w:textAlignment w:val="bottom"/>
        <w:rPr>
          <w:rFonts w:hint="eastAsia" w:ascii="宋体" w:hAnsi="宋体" w:cs="宋体"/>
          <w:b/>
          <w:bCs/>
          <w:sz w:val="84"/>
          <w:szCs w:val="84"/>
        </w:rPr>
      </w:pPr>
      <w:r>
        <w:rPr>
          <w:rFonts w:hint="eastAsia" w:ascii="宋体" w:hAnsi="宋体" w:cs="宋体"/>
          <w:b/>
          <w:bCs/>
          <w:sz w:val="84"/>
          <w:szCs w:val="84"/>
        </w:rPr>
        <w:t xml:space="preserve"> </w:t>
      </w:r>
    </w:p>
    <w:p>
      <w:pPr>
        <w:autoSpaceDE w:val="0"/>
        <w:autoSpaceDN w:val="0"/>
        <w:jc w:val="center"/>
        <w:textAlignment w:val="bottom"/>
        <w:rPr>
          <w:rFonts w:hint="eastAsia" w:ascii="宋体" w:hAnsi="宋体" w:cs="宋体"/>
          <w:b/>
          <w:bCs/>
          <w:sz w:val="84"/>
          <w:szCs w:val="84"/>
        </w:rPr>
      </w:pPr>
      <w:r>
        <w:rPr>
          <w:rFonts w:hint="eastAsia" w:ascii="宋体" w:hAnsi="宋体" w:cs="宋体"/>
          <w:b/>
          <w:bCs/>
          <w:sz w:val="84"/>
          <w:szCs w:val="84"/>
        </w:rPr>
        <w:t xml:space="preserve"> </w:t>
      </w:r>
    </w:p>
    <w:p>
      <w:pPr>
        <w:jc w:val="center"/>
        <w:rPr>
          <w:rFonts w:hint="eastAsia" w:ascii="宋体" w:hAnsi="宋体" w:cs="宋体"/>
          <w:sz w:val="84"/>
          <w:szCs w:val="84"/>
        </w:rPr>
      </w:pPr>
      <w:r>
        <w:rPr>
          <w:rFonts w:hint="eastAsia" w:ascii="宋体" w:hAnsi="宋体" w:cs="宋体"/>
          <w:sz w:val="84"/>
          <w:szCs w:val="84"/>
        </w:rPr>
        <w:t>竞争性磋商文件</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tbl>
      <w:tblPr>
        <w:tblStyle w:val="22"/>
        <w:tblW w:w="7248" w:type="dxa"/>
        <w:jc w:val="center"/>
        <w:tblLayout w:type="fixed"/>
        <w:tblCellMar>
          <w:top w:w="0" w:type="dxa"/>
          <w:left w:w="108" w:type="dxa"/>
          <w:bottom w:w="0" w:type="dxa"/>
          <w:right w:w="108" w:type="dxa"/>
        </w:tblCellMar>
      </w:tblPr>
      <w:tblGrid>
        <w:gridCol w:w="1946"/>
        <w:gridCol w:w="5302"/>
      </w:tblGrid>
      <w:tr>
        <w:tblPrEx>
          <w:tblCellMar>
            <w:top w:w="0" w:type="dxa"/>
            <w:left w:w="108" w:type="dxa"/>
            <w:bottom w:w="0" w:type="dxa"/>
            <w:right w:w="108" w:type="dxa"/>
          </w:tblCellMar>
        </w:tblPrEx>
        <w:trPr>
          <w:trHeight w:val="851" w:hRule="atLeast"/>
          <w:jc w:val="center"/>
        </w:trPr>
        <w:tc>
          <w:tcPr>
            <w:tcW w:w="1946" w:type="dxa"/>
            <w:tcBorders>
              <w:top w:val="nil"/>
              <w:left w:val="nil"/>
              <w:bottom w:val="nil"/>
              <w:right w:val="nil"/>
            </w:tcBorders>
            <w:vAlign w:val="center"/>
          </w:tcPr>
          <w:p>
            <w:pPr>
              <w:autoSpaceDE w:val="0"/>
              <w:autoSpaceDN w:val="0"/>
              <w:jc w:val="distribute"/>
              <w:textAlignment w:val="bottom"/>
              <w:outlineLvl w:val="0"/>
              <w:rPr>
                <w:rFonts w:hint="eastAsia" w:ascii="宋体" w:hAnsi="宋体" w:cs="宋体"/>
                <w:b/>
                <w:bCs/>
                <w:sz w:val="32"/>
                <w:szCs w:val="32"/>
              </w:rPr>
            </w:pPr>
          </w:p>
        </w:tc>
        <w:tc>
          <w:tcPr>
            <w:tcW w:w="5302" w:type="dxa"/>
            <w:tcBorders>
              <w:top w:val="nil"/>
              <w:left w:val="nil"/>
              <w:bottom w:val="nil"/>
              <w:right w:val="nil"/>
            </w:tcBorders>
            <w:vAlign w:val="center"/>
          </w:tcPr>
          <w:p>
            <w:pPr>
              <w:autoSpaceDE w:val="0"/>
              <w:autoSpaceDN w:val="0"/>
              <w:textAlignment w:val="bottom"/>
              <w:outlineLvl w:val="0"/>
              <w:rPr>
                <w:rFonts w:hint="eastAsia" w:ascii="宋体" w:hAnsi="宋体" w:cs="宋体"/>
                <w:sz w:val="36"/>
                <w:szCs w:val="36"/>
              </w:rPr>
            </w:pPr>
          </w:p>
        </w:tc>
      </w:tr>
      <w:tr>
        <w:tblPrEx>
          <w:tblCellMar>
            <w:top w:w="0" w:type="dxa"/>
            <w:left w:w="108" w:type="dxa"/>
            <w:bottom w:w="0" w:type="dxa"/>
            <w:right w:w="108" w:type="dxa"/>
          </w:tblCellMar>
        </w:tblPrEx>
        <w:trPr>
          <w:trHeight w:val="851" w:hRule="atLeast"/>
          <w:jc w:val="center"/>
        </w:trPr>
        <w:tc>
          <w:tcPr>
            <w:tcW w:w="1946" w:type="dxa"/>
            <w:tcBorders>
              <w:top w:val="nil"/>
              <w:left w:val="nil"/>
              <w:bottom w:val="nil"/>
              <w:right w:val="nil"/>
            </w:tcBorders>
            <w:vAlign w:val="center"/>
          </w:tcPr>
          <w:p>
            <w:pPr>
              <w:autoSpaceDE w:val="0"/>
              <w:autoSpaceDN w:val="0"/>
              <w:jc w:val="distribute"/>
              <w:textAlignment w:val="bottom"/>
              <w:outlineLvl w:val="0"/>
              <w:rPr>
                <w:rFonts w:hint="eastAsia" w:ascii="宋体" w:hAnsi="宋体" w:cs="宋体"/>
                <w:b/>
                <w:bCs/>
                <w:sz w:val="32"/>
                <w:szCs w:val="32"/>
              </w:rPr>
            </w:pPr>
            <w:bookmarkStart w:id="0" w:name="_Toc514414847"/>
            <w:bookmarkStart w:id="1" w:name="_Toc530663159"/>
            <w:bookmarkStart w:id="2" w:name="_Toc530663850"/>
            <w:bookmarkStart w:id="3" w:name="_Toc20237"/>
            <w:bookmarkStart w:id="4" w:name="_Toc28568"/>
            <w:bookmarkStart w:id="5" w:name="_Toc19175"/>
            <w:bookmarkStart w:id="6" w:name="_Toc11701"/>
            <w:bookmarkStart w:id="7" w:name="_Toc50066635"/>
            <w:bookmarkStart w:id="8" w:name="_Toc7496"/>
            <w:bookmarkStart w:id="9" w:name="_Toc493955938"/>
            <w:bookmarkStart w:id="10" w:name="_Toc3025"/>
            <w:bookmarkStart w:id="11" w:name="_Toc45132498"/>
            <w:bookmarkStart w:id="12" w:name="_Toc10075"/>
            <w:bookmarkStart w:id="13" w:name="_Toc514359122"/>
            <w:bookmarkStart w:id="14" w:name="_Toc20897"/>
            <w:r>
              <w:rPr>
                <w:rFonts w:hint="eastAsia" w:ascii="宋体" w:hAnsi="宋体" w:cs="宋体"/>
                <w:b/>
                <w:bCs/>
                <w:sz w:val="36"/>
                <w:szCs w:val="36"/>
              </w:rPr>
              <w:t>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c>
        <w:tc>
          <w:tcPr>
            <w:tcW w:w="5302" w:type="dxa"/>
            <w:tcBorders>
              <w:top w:val="nil"/>
              <w:left w:val="nil"/>
              <w:bottom w:val="nil"/>
              <w:right w:val="nil"/>
            </w:tcBorders>
            <w:vAlign w:val="center"/>
          </w:tcPr>
          <w:p>
            <w:pPr>
              <w:autoSpaceDE w:val="0"/>
              <w:autoSpaceDN w:val="0"/>
              <w:textAlignment w:val="bottom"/>
              <w:outlineLvl w:val="0"/>
              <w:rPr>
                <w:rFonts w:hint="eastAsia" w:ascii="宋体" w:hAnsi="宋体" w:cs="宋体"/>
                <w:sz w:val="36"/>
                <w:szCs w:val="36"/>
              </w:rPr>
            </w:pPr>
            <w:r>
              <w:rPr>
                <w:rFonts w:hint="eastAsia" w:ascii="宋体" w:hAnsi="宋体" w:cs="宋体"/>
                <w:sz w:val="36"/>
                <w:szCs w:val="36"/>
              </w:rPr>
              <w:t>丽水学院共享电动车服务项目</w:t>
            </w:r>
          </w:p>
        </w:tc>
      </w:tr>
      <w:tr>
        <w:tblPrEx>
          <w:tblCellMar>
            <w:top w:w="0" w:type="dxa"/>
            <w:left w:w="108" w:type="dxa"/>
            <w:bottom w:w="0" w:type="dxa"/>
            <w:right w:w="108" w:type="dxa"/>
          </w:tblCellMar>
        </w:tblPrEx>
        <w:trPr>
          <w:trHeight w:val="851" w:hRule="atLeast"/>
          <w:jc w:val="center"/>
        </w:trPr>
        <w:tc>
          <w:tcPr>
            <w:tcW w:w="1946" w:type="dxa"/>
            <w:tcBorders>
              <w:top w:val="nil"/>
              <w:left w:val="nil"/>
              <w:bottom w:val="nil"/>
              <w:right w:val="nil"/>
            </w:tcBorders>
            <w:vAlign w:val="center"/>
          </w:tcPr>
          <w:p>
            <w:pPr>
              <w:autoSpaceDE w:val="0"/>
              <w:autoSpaceDN w:val="0"/>
              <w:jc w:val="distribute"/>
              <w:textAlignment w:val="bottom"/>
              <w:outlineLvl w:val="0"/>
              <w:rPr>
                <w:rFonts w:hint="eastAsia" w:ascii="宋体" w:hAnsi="宋体" w:cs="宋体"/>
                <w:b/>
                <w:bCs/>
                <w:sz w:val="32"/>
                <w:szCs w:val="32"/>
              </w:rPr>
            </w:pPr>
            <w:bookmarkStart w:id="15" w:name="_Toc530663852"/>
            <w:bookmarkStart w:id="16" w:name="_Toc514414849"/>
            <w:bookmarkStart w:id="17" w:name="_Toc31893"/>
            <w:bookmarkStart w:id="18" w:name="_Toc530663161"/>
            <w:bookmarkStart w:id="19" w:name="_Toc6828"/>
            <w:bookmarkStart w:id="20" w:name="_Toc12743"/>
            <w:bookmarkStart w:id="21" w:name="_Toc514359124"/>
            <w:bookmarkStart w:id="22" w:name="_Toc10087"/>
            <w:bookmarkStart w:id="23" w:name="_Toc25836"/>
            <w:bookmarkStart w:id="24" w:name="_Toc24887"/>
            <w:bookmarkStart w:id="25" w:name="_Toc16018"/>
            <w:bookmarkStart w:id="26" w:name="_Toc22676"/>
            <w:bookmarkStart w:id="27" w:name="_Toc45132500"/>
            <w:bookmarkStart w:id="28" w:name="_Toc50066637"/>
            <w:r>
              <w:rPr>
                <w:rFonts w:hint="eastAsia" w:ascii="宋体" w:hAnsi="宋体" w:cs="宋体"/>
                <w:b/>
                <w:bCs/>
                <w:sz w:val="36"/>
                <w:szCs w:val="36"/>
              </w:rPr>
              <w:t>采购人：</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c>
          <w:tcPr>
            <w:tcW w:w="5302" w:type="dxa"/>
            <w:tcBorders>
              <w:top w:val="nil"/>
              <w:left w:val="nil"/>
              <w:bottom w:val="nil"/>
              <w:right w:val="nil"/>
            </w:tcBorders>
            <w:vAlign w:val="center"/>
          </w:tcPr>
          <w:p>
            <w:pPr>
              <w:autoSpaceDE w:val="0"/>
              <w:autoSpaceDN w:val="0"/>
              <w:textAlignment w:val="bottom"/>
              <w:outlineLvl w:val="0"/>
              <w:rPr>
                <w:rFonts w:hint="default" w:ascii="宋体" w:hAnsi="宋体" w:eastAsia="宋体" w:cs="宋体"/>
                <w:sz w:val="36"/>
                <w:szCs w:val="36"/>
                <w:lang w:val="en-US" w:eastAsia="zh-CN"/>
              </w:rPr>
            </w:pPr>
            <w:r>
              <w:rPr>
                <w:rFonts w:hint="eastAsia" w:ascii="宋体" w:hAnsi="宋体" w:cs="宋体"/>
                <w:sz w:val="36"/>
                <w:szCs w:val="36"/>
              </w:rPr>
              <w:t>丽水学院</w:t>
            </w:r>
            <w:r>
              <w:rPr>
                <w:rFonts w:hint="eastAsia" w:ascii="宋体" w:hAnsi="宋体" w:cs="宋体"/>
                <w:sz w:val="36"/>
                <w:szCs w:val="36"/>
                <w:lang w:val="en-US" w:eastAsia="zh-CN"/>
              </w:rPr>
              <w:t>保卫处</w:t>
            </w:r>
          </w:p>
        </w:tc>
      </w:tr>
    </w:tbl>
    <w:p>
      <w:pPr>
        <w:autoSpaceDE w:val="0"/>
        <w:autoSpaceDN w:val="0"/>
        <w:textAlignment w:val="bottom"/>
        <w:rPr>
          <w:rFonts w:hint="eastAsia" w:ascii="宋体" w:hAnsi="宋体" w:cs="宋体"/>
          <w:b/>
          <w:bCs/>
          <w:sz w:val="36"/>
          <w:szCs w:val="36"/>
        </w:rPr>
      </w:pPr>
      <w:r>
        <w:rPr>
          <w:rFonts w:hint="eastAsia" w:ascii="宋体" w:hAnsi="宋体" w:cs="宋体"/>
          <w:b/>
          <w:bCs/>
          <w:sz w:val="36"/>
          <w:szCs w:val="36"/>
        </w:rPr>
        <w:t xml:space="preserve"> </w:t>
      </w:r>
    </w:p>
    <w:p>
      <w:pPr>
        <w:autoSpaceDE w:val="0"/>
        <w:autoSpaceDN w:val="0"/>
        <w:jc w:val="center"/>
        <w:textAlignment w:val="bottom"/>
        <w:rPr>
          <w:rFonts w:hint="eastAsia" w:ascii="宋体" w:hAnsi="宋体" w:cs="宋体"/>
          <w:b/>
          <w:bCs/>
          <w:sz w:val="36"/>
          <w:szCs w:val="36"/>
        </w:rPr>
      </w:pPr>
      <w:r>
        <w:rPr>
          <w:rFonts w:hint="eastAsia" w:ascii="宋体" w:hAnsi="宋体" w:cs="宋体"/>
          <w:b/>
          <w:bCs/>
          <w:sz w:val="36"/>
          <w:szCs w:val="36"/>
        </w:rPr>
        <w:t xml:space="preserve"> </w:t>
      </w:r>
    </w:p>
    <w:p>
      <w:pPr>
        <w:pStyle w:val="21"/>
        <w:ind w:firstLine="210"/>
        <w:rPr>
          <w:rFonts w:hint="eastAsia"/>
        </w:rPr>
      </w:pPr>
    </w:p>
    <w:p>
      <w:pPr>
        <w:pStyle w:val="12"/>
        <w:jc w:val="center"/>
        <w:rPr>
          <w:rFonts w:ascii="宋体" w:hAnsi="宋体" w:cs="宋体"/>
          <w:b/>
          <w:bCs/>
          <w:sz w:val="36"/>
          <w:szCs w:val="36"/>
        </w:rPr>
      </w:pPr>
      <w:r>
        <w:rPr>
          <w:rFonts w:ascii="宋体" w:hAnsi="宋体" w:cs="宋体"/>
          <w:b/>
          <w:bCs/>
          <w:sz w:val="36"/>
          <w:szCs w:val="36"/>
        </w:rPr>
        <w:t>2021年10月</w:t>
      </w:r>
    </w:p>
    <w:p>
      <w:pPr>
        <w:spacing w:line="360" w:lineRule="auto"/>
        <w:jc w:val="center"/>
        <w:rPr>
          <w:rFonts w:ascii="宋体" w:hAnsi="宋体"/>
          <w:b/>
          <w:sz w:val="44"/>
          <w:szCs w:val="44"/>
        </w:rPr>
      </w:pPr>
      <w:r>
        <w:rPr>
          <w:rFonts w:ascii="宋体" w:hAnsi="宋体"/>
          <w:b/>
          <w:sz w:val="44"/>
          <w:szCs w:val="44"/>
        </w:rPr>
        <w:br w:type="page"/>
      </w:r>
      <w:r>
        <w:rPr>
          <w:rFonts w:hint="eastAsia" w:ascii="宋体" w:hAnsi="宋体"/>
          <w:b/>
          <w:sz w:val="44"/>
          <w:szCs w:val="44"/>
        </w:rPr>
        <w:t>竞争性磋商文件目录</w:t>
      </w:r>
    </w:p>
    <w:p>
      <w:pPr>
        <w:spacing w:line="360" w:lineRule="auto"/>
        <w:ind w:left="3000"/>
        <w:jc w:val="center"/>
        <w:rPr>
          <w:rFonts w:eastAsia="黑体"/>
          <w:sz w:val="44"/>
        </w:rPr>
      </w:pPr>
    </w:p>
    <w:p>
      <w:pPr>
        <w:spacing w:line="360" w:lineRule="auto"/>
        <w:ind w:firstLine="1191" w:firstLineChars="397"/>
        <w:rPr>
          <w:rFonts w:ascii="宋体" w:hAnsi="宋体"/>
          <w:sz w:val="30"/>
          <w:szCs w:val="30"/>
        </w:rPr>
      </w:pPr>
      <w:r>
        <w:rPr>
          <w:rFonts w:hint="eastAsia" w:ascii="宋体" w:hAnsi="宋体"/>
          <w:sz w:val="30"/>
          <w:szCs w:val="30"/>
        </w:rPr>
        <w:t>第一章 竞争性磋商公告............................2</w:t>
      </w:r>
    </w:p>
    <w:p>
      <w:pPr>
        <w:spacing w:line="360" w:lineRule="auto"/>
        <w:ind w:firstLine="1191" w:firstLineChars="397"/>
        <w:rPr>
          <w:rFonts w:ascii="宋体" w:hAnsi="宋体"/>
          <w:sz w:val="30"/>
          <w:szCs w:val="30"/>
        </w:rPr>
      </w:pPr>
      <w:r>
        <w:rPr>
          <w:rFonts w:hint="eastAsia" w:ascii="宋体" w:hAnsi="宋体"/>
          <w:sz w:val="30"/>
          <w:szCs w:val="30"/>
        </w:rPr>
        <w:t>第二章 供应商须知................................5</w:t>
      </w:r>
    </w:p>
    <w:p>
      <w:pPr>
        <w:spacing w:line="360" w:lineRule="auto"/>
        <w:ind w:firstLine="1191" w:firstLineChars="397"/>
        <w:rPr>
          <w:rFonts w:ascii="宋体" w:hAnsi="宋体"/>
          <w:sz w:val="30"/>
          <w:szCs w:val="30"/>
        </w:rPr>
      </w:pPr>
      <w:r>
        <w:rPr>
          <w:rFonts w:hint="eastAsia" w:ascii="宋体" w:hAnsi="宋体"/>
          <w:sz w:val="30"/>
          <w:szCs w:val="30"/>
        </w:rPr>
        <w:t>第三章 项目采购需求..............................14</w:t>
      </w:r>
    </w:p>
    <w:p>
      <w:pPr>
        <w:spacing w:line="360" w:lineRule="auto"/>
        <w:ind w:firstLine="1191" w:firstLineChars="397"/>
        <w:rPr>
          <w:rFonts w:ascii="宋体" w:hAnsi="宋体"/>
          <w:sz w:val="30"/>
          <w:szCs w:val="30"/>
        </w:rPr>
      </w:pPr>
      <w:r>
        <w:rPr>
          <w:rFonts w:hint="eastAsia" w:ascii="宋体" w:hAnsi="宋体"/>
          <w:sz w:val="30"/>
          <w:szCs w:val="30"/>
        </w:rPr>
        <w:t>第四章 采购合同..................................17</w:t>
      </w:r>
    </w:p>
    <w:p>
      <w:pPr>
        <w:spacing w:line="360" w:lineRule="auto"/>
        <w:ind w:firstLine="1191" w:firstLineChars="397"/>
        <w:rPr>
          <w:rFonts w:ascii="宋体" w:hAnsi="宋体"/>
          <w:sz w:val="30"/>
          <w:szCs w:val="30"/>
        </w:rPr>
      </w:pPr>
      <w:r>
        <w:rPr>
          <w:rFonts w:hint="eastAsia" w:ascii="宋体" w:hAnsi="宋体"/>
          <w:sz w:val="30"/>
          <w:szCs w:val="30"/>
        </w:rPr>
        <w:t>第五章 评标办法..................................20</w:t>
      </w:r>
    </w:p>
    <w:p>
      <w:pPr>
        <w:spacing w:line="360" w:lineRule="auto"/>
        <w:ind w:firstLine="1191" w:firstLineChars="397"/>
        <w:rPr>
          <w:rFonts w:ascii="宋体" w:hAnsi="宋体"/>
          <w:sz w:val="30"/>
          <w:szCs w:val="30"/>
        </w:rPr>
      </w:pPr>
      <w:r>
        <w:rPr>
          <w:rFonts w:hint="eastAsia" w:ascii="宋体" w:hAnsi="宋体"/>
          <w:sz w:val="30"/>
          <w:szCs w:val="30"/>
        </w:rPr>
        <w:t>第六章 响应文件格式..............................22</w:t>
      </w:r>
    </w:p>
    <w:p>
      <w:pPr>
        <w:pStyle w:val="51"/>
        <w:jc w:val="center"/>
      </w:pPr>
      <w:r>
        <w:rPr>
          <w:sz w:val="36"/>
          <w:szCs w:val="36"/>
        </w:rPr>
        <w:br w:type="page"/>
      </w:r>
      <w:r>
        <w:rPr>
          <w:rFonts w:hint="eastAsia"/>
        </w:rPr>
        <w:t>第一章竞争性磋商公告</w:t>
      </w:r>
    </w:p>
    <w:p>
      <w:pPr>
        <w:tabs>
          <w:tab w:val="left" w:pos="-3060"/>
        </w:tabs>
        <w:spacing w:line="360" w:lineRule="auto"/>
        <w:ind w:firstLine="480" w:firstLineChars="200"/>
        <w:rPr>
          <w:rFonts w:ascii="宋体" w:hAnsi="宋体" w:cs="宋体"/>
          <w:sz w:val="24"/>
          <w:szCs w:val="24"/>
        </w:rPr>
      </w:pPr>
      <w:r>
        <w:rPr>
          <w:rFonts w:hint="eastAsia" w:ascii="宋体" w:hAnsi="宋体" w:cs="宋体"/>
          <w:sz w:val="24"/>
          <w:szCs w:val="24"/>
        </w:rPr>
        <w:t>根据《中华人民共和国政府采购法》等有关规定，现就</w:t>
      </w:r>
      <w:r>
        <w:rPr>
          <w:rFonts w:hint="eastAsia" w:ascii="宋体" w:hAnsi="宋体" w:cs="宋体"/>
          <w:sz w:val="24"/>
          <w:szCs w:val="24"/>
          <w:u w:val="single"/>
        </w:rPr>
        <w:t>丽水学院共享电动车服务项目</w:t>
      </w:r>
      <w:r>
        <w:rPr>
          <w:rFonts w:hint="eastAsia" w:ascii="宋体" w:hAnsi="宋体" w:cs="宋体"/>
          <w:sz w:val="24"/>
          <w:szCs w:val="24"/>
        </w:rPr>
        <w:t>进行竞争性磋商采购，欢迎国内符合条件的潜在投标人参加本项目投标。</w:t>
      </w:r>
    </w:p>
    <w:p>
      <w:pPr>
        <w:snapToGrid w:val="0"/>
        <w:spacing w:line="360" w:lineRule="auto"/>
        <w:ind w:firstLine="352" w:firstLineChars="147"/>
        <w:rPr>
          <w:rFonts w:hint="eastAsia" w:ascii="宋体" w:hAnsi="宋体" w:cs="宋体"/>
          <w:color w:val="auto"/>
          <w:sz w:val="24"/>
          <w:szCs w:val="24"/>
        </w:rPr>
      </w:pPr>
      <w:r>
        <w:rPr>
          <w:rFonts w:hint="eastAsia" w:ascii="宋体" w:hAnsi="宋体" w:cs="宋体"/>
          <w:sz w:val="24"/>
          <w:szCs w:val="24"/>
        </w:rPr>
        <w:t xml:space="preserve"> </w:t>
      </w:r>
      <w:r>
        <w:rPr>
          <w:rFonts w:hint="eastAsia" w:ascii="宋体" w:hAnsi="宋体" w:cs="宋体"/>
          <w:b/>
          <w:sz w:val="24"/>
          <w:szCs w:val="24"/>
        </w:rPr>
        <w:t>一、 采购编号：</w:t>
      </w:r>
      <w:r>
        <w:rPr>
          <w:rFonts w:hint="eastAsia" w:ascii="宋体" w:hAnsi="宋体" w:cs="宋体"/>
          <w:color w:val="auto"/>
          <w:sz w:val="24"/>
          <w:szCs w:val="24"/>
        </w:rPr>
        <w:t>丽水学院保卫处磋商202101号</w:t>
      </w:r>
    </w:p>
    <w:p>
      <w:pPr>
        <w:snapToGrid w:val="0"/>
        <w:spacing w:line="360" w:lineRule="auto"/>
        <w:ind w:firstLine="482" w:firstLineChars="200"/>
        <w:rPr>
          <w:rFonts w:hint="eastAsia" w:ascii="宋体" w:hAnsi="宋体" w:cs="宋体"/>
          <w:sz w:val="24"/>
          <w:szCs w:val="24"/>
        </w:rPr>
      </w:pPr>
      <w:r>
        <w:rPr>
          <w:rFonts w:hint="eastAsia" w:ascii="宋体" w:hAnsi="宋体" w:cs="宋体"/>
          <w:b/>
          <w:sz w:val="24"/>
          <w:szCs w:val="24"/>
        </w:rPr>
        <w:t>二、 项目名称：</w:t>
      </w:r>
      <w:r>
        <w:rPr>
          <w:rFonts w:hint="eastAsia" w:ascii="宋体" w:hAnsi="宋体" w:cs="宋体"/>
          <w:sz w:val="24"/>
          <w:szCs w:val="24"/>
        </w:rPr>
        <w:t>丽水学院共享电动车服务项目采购</w:t>
      </w:r>
    </w:p>
    <w:p>
      <w:pPr>
        <w:snapToGrid w:val="0"/>
        <w:spacing w:line="360" w:lineRule="auto"/>
        <w:ind w:firstLine="510"/>
        <w:rPr>
          <w:rFonts w:hint="eastAsia" w:ascii="宋体" w:hAnsi="宋体" w:cs="宋体"/>
          <w:sz w:val="24"/>
          <w:szCs w:val="24"/>
        </w:rPr>
      </w:pPr>
      <w:r>
        <w:rPr>
          <w:rFonts w:hint="eastAsia" w:ascii="宋体" w:hAnsi="宋体" w:cs="宋体"/>
          <w:b/>
          <w:sz w:val="24"/>
          <w:szCs w:val="24"/>
        </w:rPr>
        <w:t>三、 采购方式：</w:t>
      </w:r>
      <w:r>
        <w:rPr>
          <w:rFonts w:hint="eastAsia" w:ascii="宋体" w:hAnsi="宋体" w:cs="宋体"/>
          <w:sz w:val="24"/>
          <w:szCs w:val="24"/>
        </w:rPr>
        <w:t>竞争性磋商</w:t>
      </w:r>
    </w:p>
    <w:p>
      <w:pPr>
        <w:pStyle w:val="8"/>
        <w:rPr>
          <w:rFonts w:hint="eastAsia"/>
          <w:sz w:val="24"/>
        </w:rPr>
      </w:pPr>
      <w:r>
        <w:rPr>
          <w:rFonts w:hint="eastAsia"/>
          <w:sz w:val="24"/>
        </w:rPr>
        <w:t xml:space="preserve">  </w:t>
      </w:r>
      <w:r>
        <w:rPr>
          <w:rFonts w:hint="eastAsia" w:ascii="宋体" w:hAnsi="宋体" w:cs="宋体"/>
          <w:b/>
          <w:sz w:val="24"/>
        </w:rPr>
        <w:t xml:space="preserve">  四、 采购组织类型：</w:t>
      </w:r>
      <w:r>
        <w:rPr>
          <w:rFonts w:hint="eastAsia" w:ascii="宋体" w:hAnsi="宋体" w:cs="宋体"/>
          <w:sz w:val="24"/>
        </w:rPr>
        <w:t>自行组织(非政府采购)</w:t>
      </w:r>
    </w:p>
    <w:p>
      <w:pPr>
        <w:snapToGrid w:val="0"/>
        <w:spacing w:line="360" w:lineRule="auto"/>
        <w:ind w:firstLine="510"/>
        <w:rPr>
          <w:rFonts w:hint="eastAsia" w:ascii="宋体" w:hAnsi="宋体" w:cs="宋体"/>
          <w:b/>
          <w:sz w:val="24"/>
          <w:szCs w:val="24"/>
        </w:rPr>
      </w:pPr>
      <w:r>
        <w:rPr>
          <w:rFonts w:hint="eastAsia" w:ascii="宋体" w:hAnsi="宋体" w:cs="宋体"/>
          <w:b/>
          <w:sz w:val="24"/>
          <w:szCs w:val="24"/>
        </w:rPr>
        <w:t>五、 项目概况：</w:t>
      </w:r>
    </w:p>
    <w:tbl>
      <w:tblPr>
        <w:tblStyle w:val="22"/>
        <w:tblW w:w="8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9"/>
        <w:gridCol w:w="4401"/>
        <w:gridCol w:w="1269"/>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 w:val="24"/>
                <w:szCs w:val="24"/>
              </w:rPr>
            </w:pPr>
            <w:r>
              <w:rPr>
                <w:rFonts w:hint="eastAsia" w:ascii="宋体" w:hAnsi="宋体" w:cs="Arial"/>
                <w:b/>
                <w:bCs/>
                <w:sz w:val="24"/>
                <w:szCs w:val="24"/>
              </w:rPr>
              <w:t>项目名称</w:t>
            </w:r>
          </w:p>
        </w:tc>
        <w:tc>
          <w:tcPr>
            <w:tcW w:w="44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 w:val="24"/>
                <w:szCs w:val="24"/>
              </w:rPr>
            </w:pPr>
            <w:r>
              <w:rPr>
                <w:rFonts w:hint="eastAsia" w:ascii="宋体" w:hAnsi="宋体" w:cs="Arial"/>
                <w:b/>
                <w:bCs/>
                <w:sz w:val="24"/>
                <w:szCs w:val="24"/>
              </w:rPr>
              <w:t>采购内容</w:t>
            </w:r>
          </w:p>
        </w:tc>
        <w:tc>
          <w:tcPr>
            <w:tcW w:w="12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 w:val="24"/>
                <w:szCs w:val="24"/>
              </w:rPr>
            </w:pPr>
            <w:r>
              <w:rPr>
                <w:rFonts w:hint="eastAsia" w:ascii="宋体" w:hAnsi="宋体" w:cs="Arial"/>
                <w:b/>
                <w:bCs/>
                <w:sz w:val="24"/>
                <w:szCs w:val="24"/>
              </w:rPr>
              <w:t>合同期限</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 w:val="24"/>
                <w:szCs w:val="24"/>
              </w:rPr>
            </w:pPr>
            <w:r>
              <w:rPr>
                <w:rFonts w:hint="eastAsia" w:ascii="宋体" w:hAnsi="宋体" w:cs="Arial"/>
                <w:b/>
                <w:bCs/>
                <w:sz w:val="24"/>
                <w:szCs w:val="24"/>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19"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sz w:val="24"/>
                <w:szCs w:val="24"/>
              </w:rPr>
            </w:pPr>
            <w:r>
              <w:rPr>
                <w:rFonts w:hint="eastAsia" w:ascii="宋体" w:hAnsi="宋体"/>
                <w:sz w:val="24"/>
                <w:szCs w:val="24"/>
              </w:rPr>
              <w:t>丽水学院共享电动车服务项目</w:t>
            </w:r>
          </w:p>
        </w:tc>
        <w:tc>
          <w:tcPr>
            <w:tcW w:w="4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sz w:val="24"/>
                <w:szCs w:val="24"/>
              </w:rPr>
            </w:pPr>
            <w:r>
              <w:rPr>
                <w:rFonts w:hint="eastAsia" w:ascii="宋体" w:hAnsi="宋体"/>
                <w:sz w:val="24"/>
                <w:szCs w:val="24"/>
              </w:rPr>
              <w:t>委托第三方负责</w:t>
            </w:r>
            <w:r>
              <w:rPr>
                <w:rFonts w:hint="eastAsia"/>
                <w:sz w:val="24"/>
                <w:szCs w:val="24"/>
              </w:rPr>
              <w:t>丽水学院</w:t>
            </w:r>
            <w:r>
              <w:rPr>
                <w:rFonts w:hint="eastAsia" w:ascii="宋体" w:hAnsi="宋体"/>
                <w:sz w:val="24"/>
                <w:szCs w:val="24"/>
              </w:rPr>
              <w:t>校园</w:t>
            </w:r>
            <w:r>
              <w:rPr>
                <w:rFonts w:hint="eastAsia"/>
                <w:sz w:val="24"/>
                <w:szCs w:val="24"/>
              </w:rPr>
              <w:t>共享电动车</w:t>
            </w:r>
            <w:r>
              <w:rPr>
                <w:rFonts w:hint="eastAsia" w:ascii="宋体" w:hAnsi="宋体"/>
                <w:sz w:val="24"/>
                <w:szCs w:val="24"/>
              </w:rPr>
              <w:t>运营，通过竞争性磋商选择1家运营商投放</w:t>
            </w:r>
            <w:r>
              <w:rPr>
                <w:rFonts w:hint="eastAsia" w:ascii="宋体" w:hAnsi="宋体"/>
                <w:sz w:val="24"/>
                <w:szCs w:val="24"/>
                <w:lang w:eastAsia="zh-CN"/>
              </w:rPr>
              <w:t>300</w:t>
            </w:r>
            <w:r>
              <w:rPr>
                <w:rFonts w:hint="eastAsia" w:ascii="宋体" w:hAnsi="宋体"/>
                <w:sz w:val="24"/>
                <w:szCs w:val="24"/>
              </w:rPr>
              <w:t>辆电动车进入校园运营。</w:t>
            </w:r>
          </w:p>
        </w:tc>
        <w:tc>
          <w:tcPr>
            <w:tcW w:w="12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年</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sz w:val="24"/>
                <w:szCs w:val="24"/>
              </w:rPr>
            </w:pPr>
            <w:r>
              <w:rPr>
                <w:rFonts w:hint="eastAsia" w:ascii="宋体" w:hAnsi="宋体" w:cs="Arial"/>
                <w:sz w:val="24"/>
                <w:szCs w:val="24"/>
              </w:rPr>
              <w:t>5万元</w:t>
            </w:r>
          </w:p>
        </w:tc>
      </w:tr>
    </w:tbl>
    <w:p>
      <w:pPr>
        <w:spacing w:line="360" w:lineRule="auto"/>
        <w:ind w:firstLine="482" w:firstLineChars="200"/>
        <w:rPr>
          <w:rFonts w:hint="eastAsia" w:ascii="宋体" w:hAnsi="宋体"/>
          <w:b/>
          <w:bCs/>
          <w:sz w:val="24"/>
          <w:szCs w:val="24"/>
        </w:rPr>
      </w:pPr>
      <w:r>
        <w:rPr>
          <w:rFonts w:hint="eastAsia" w:ascii="宋体" w:hAnsi="宋体"/>
          <w:b/>
          <w:bCs/>
          <w:sz w:val="24"/>
          <w:szCs w:val="24"/>
        </w:rPr>
        <w:t>注：具体内容详见第三章《项目采购需求》</w:t>
      </w:r>
    </w:p>
    <w:p>
      <w:pPr>
        <w:spacing w:line="360" w:lineRule="auto"/>
        <w:ind w:firstLine="482" w:firstLineChars="200"/>
        <w:rPr>
          <w:rFonts w:hint="eastAsia" w:ascii="宋体" w:hAnsi="宋体"/>
          <w:b/>
          <w:bCs/>
          <w:sz w:val="24"/>
          <w:szCs w:val="24"/>
        </w:rPr>
      </w:pPr>
      <w:r>
        <w:rPr>
          <w:rFonts w:hint="eastAsia" w:ascii="宋体" w:hAnsi="宋体"/>
          <w:b/>
          <w:bCs/>
          <w:sz w:val="24"/>
          <w:szCs w:val="24"/>
        </w:rPr>
        <w:t>六、投标人应具备的资格要求：</w:t>
      </w:r>
    </w:p>
    <w:p>
      <w:pPr>
        <w:widowControl/>
        <w:spacing w:line="360" w:lineRule="auto"/>
        <w:ind w:left="420" w:leftChars="200" w:firstLine="480" w:firstLineChars="200"/>
        <w:jc w:val="left"/>
        <w:rPr>
          <w:rFonts w:hAnsi="宋体" w:cs="宋体"/>
          <w:kern w:val="0"/>
          <w:sz w:val="24"/>
          <w:szCs w:val="24"/>
        </w:rPr>
      </w:pPr>
      <w:r>
        <w:rPr>
          <w:rFonts w:hint="eastAsia" w:ascii="宋体" w:hAnsi="宋体" w:cs="仿宋_GB2312"/>
          <w:kern w:val="0"/>
          <w:sz w:val="24"/>
          <w:szCs w:val="24"/>
        </w:rPr>
        <w:t xml:space="preserve">1. </w:t>
      </w:r>
      <w:r>
        <w:rPr>
          <w:rFonts w:hint="eastAsia" w:hAnsi="宋体" w:cs="宋体"/>
          <w:kern w:val="0"/>
          <w:sz w:val="24"/>
          <w:szCs w:val="24"/>
        </w:rPr>
        <w:t>符合《中华人民共和国政府采购法》对投标主体的要求，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widowControl/>
        <w:spacing w:line="360" w:lineRule="auto"/>
        <w:ind w:left="420" w:leftChars="200" w:firstLine="480" w:firstLineChars="200"/>
        <w:jc w:val="left"/>
        <w:rPr>
          <w:rFonts w:hint="eastAsia" w:hAnsi="宋体" w:cs="宋体"/>
          <w:kern w:val="0"/>
          <w:sz w:val="24"/>
          <w:szCs w:val="24"/>
        </w:rPr>
      </w:pPr>
      <w:r>
        <w:rPr>
          <w:rFonts w:hint="eastAsia" w:hAnsi="宋体" w:cs="宋体"/>
          <w:kern w:val="0"/>
          <w:sz w:val="24"/>
          <w:szCs w:val="24"/>
        </w:rPr>
        <w:t>2. 具有</w:t>
      </w:r>
      <w:r>
        <w:rPr>
          <w:rFonts w:hint="eastAsia" w:hAnsi="宋体" w:cs="宋体"/>
          <w:kern w:val="0"/>
          <w:sz w:val="24"/>
          <w:szCs w:val="24"/>
          <w:lang w:val="en-US" w:eastAsia="zh-CN"/>
        </w:rPr>
        <w:t>共享自行车服务相关</w:t>
      </w:r>
      <w:r>
        <w:rPr>
          <w:rFonts w:hint="eastAsia" w:hAnsi="宋体" w:cs="宋体"/>
          <w:kern w:val="0"/>
          <w:sz w:val="24"/>
          <w:szCs w:val="24"/>
        </w:rPr>
        <w:t>营</w:t>
      </w:r>
      <w:r>
        <w:rPr>
          <w:rFonts w:hint="eastAsia" w:hAnsi="宋体" w:cs="宋体"/>
          <w:kern w:val="0"/>
          <w:sz w:val="24"/>
          <w:szCs w:val="24"/>
          <w:lang w:val="en-US" w:eastAsia="zh-CN"/>
        </w:rPr>
        <w:t>业资质</w:t>
      </w:r>
      <w:r>
        <w:rPr>
          <w:rFonts w:hint="eastAsia" w:hAnsi="宋体" w:cs="宋体"/>
          <w:kern w:val="0"/>
          <w:sz w:val="24"/>
          <w:szCs w:val="24"/>
        </w:rPr>
        <w:t>。</w:t>
      </w:r>
    </w:p>
    <w:p>
      <w:pPr>
        <w:widowControl/>
        <w:spacing w:line="360" w:lineRule="auto"/>
        <w:ind w:firstLine="960" w:firstLineChars="400"/>
        <w:jc w:val="left"/>
        <w:rPr>
          <w:rFonts w:hint="eastAsia" w:hAnsi="宋体" w:cs="宋体"/>
          <w:kern w:val="0"/>
          <w:sz w:val="24"/>
          <w:szCs w:val="24"/>
        </w:rPr>
      </w:pPr>
      <w:r>
        <w:rPr>
          <w:rFonts w:hint="eastAsia" w:hAnsi="宋体" w:cs="宋体"/>
          <w:kern w:val="0"/>
          <w:sz w:val="24"/>
          <w:szCs w:val="24"/>
        </w:rPr>
        <w:t>3. 本项目不接受联合体投标，成交后不允许转包或分包。</w:t>
      </w:r>
    </w:p>
    <w:p>
      <w:pPr>
        <w:spacing w:line="360" w:lineRule="auto"/>
        <w:ind w:firstLine="482" w:firstLineChars="200"/>
        <w:rPr>
          <w:rFonts w:hint="eastAsia" w:ascii="宋体" w:hAnsi="宋体"/>
          <w:b/>
          <w:bCs/>
          <w:sz w:val="24"/>
          <w:szCs w:val="24"/>
        </w:rPr>
      </w:pPr>
      <w:r>
        <w:rPr>
          <w:rFonts w:hint="eastAsia" w:ascii="宋体" w:hAnsi="宋体"/>
          <w:b/>
          <w:bCs/>
          <w:color w:val="000000"/>
          <w:sz w:val="24"/>
          <w:szCs w:val="24"/>
        </w:rPr>
        <w:t>七、</w:t>
      </w:r>
      <w:r>
        <w:rPr>
          <w:rFonts w:hint="eastAsia" w:ascii="宋体" w:hAnsi="宋体"/>
          <w:b/>
          <w:bCs/>
          <w:sz w:val="24"/>
          <w:szCs w:val="24"/>
        </w:rPr>
        <w:t>竞争性磋商文件获取时间、地点、获取方式：</w:t>
      </w:r>
    </w:p>
    <w:p>
      <w:pPr>
        <w:spacing w:line="360" w:lineRule="auto"/>
        <w:ind w:firstLine="480" w:firstLineChars="200"/>
        <w:rPr>
          <w:rFonts w:hint="eastAsia" w:ascii="宋体" w:hAnsi="宋体"/>
          <w:sz w:val="24"/>
          <w:szCs w:val="24"/>
        </w:rPr>
      </w:pPr>
      <w:r>
        <w:rPr>
          <w:rFonts w:hint="eastAsia" w:ascii="宋体" w:hAnsi="宋体"/>
          <w:bCs/>
          <w:sz w:val="24"/>
          <w:szCs w:val="24"/>
        </w:rPr>
        <w:t xml:space="preserve">   1. </w:t>
      </w:r>
      <w:r>
        <w:rPr>
          <w:rFonts w:hint="eastAsia" w:ascii="宋体" w:hAnsi="宋体"/>
          <w:sz w:val="24"/>
          <w:szCs w:val="24"/>
        </w:rPr>
        <w:t>磋商文件获取时间：</w:t>
      </w:r>
      <w:r>
        <w:rPr>
          <w:rFonts w:hint="eastAsia" w:ascii="宋体" w:hAnsi="宋体"/>
          <w:color w:val="000000"/>
          <w:sz w:val="24"/>
          <w:szCs w:val="24"/>
        </w:rPr>
        <w:t>2021年</w:t>
      </w:r>
      <w:r>
        <w:rPr>
          <w:rFonts w:hint="eastAsia" w:ascii="宋体" w:hAnsi="宋体"/>
          <w:sz w:val="24"/>
          <w:szCs w:val="24"/>
        </w:rPr>
        <w:t>10月11日- 2021年10月18日每天8：30-11：30，14：00-17：30（北京时间），节假日除外。</w:t>
      </w:r>
    </w:p>
    <w:p>
      <w:pPr>
        <w:spacing w:line="360" w:lineRule="auto"/>
        <w:ind w:firstLine="480" w:firstLineChars="200"/>
        <w:rPr>
          <w:rFonts w:hint="eastAsia" w:ascii="宋体" w:hAnsi="宋体"/>
          <w:spacing w:val="2"/>
          <w:sz w:val="24"/>
          <w:szCs w:val="24"/>
        </w:rPr>
      </w:pPr>
      <w:r>
        <w:rPr>
          <w:rFonts w:hint="eastAsia" w:ascii="宋体" w:hAnsi="宋体" w:cs="宋体"/>
          <w:sz w:val="24"/>
          <w:szCs w:val="24"/>
        </w:rPr>
        <w:t xml:space="preserve">   2. </w:t>
      </w:r>
      <w:r>
        <w:rPr>
          <w:rFonts w:hint="eastAsia" w:ascii="宋体" w:hAnsi="宋体"/>
          <w:sz w:val="24"/>
          <w:szCs w:val="24"/>
        </w:rPr>
        <w:t>磋商文件获取地点：</w:t>
      </w:r>
      <w:r>
        <w:rPr>
          <w:rFonts w:hint="eastAsia" w:ascii="宋体" w:hAnsi="宋体"/>
          <w:spacing w:val="2"/>
          <w:sz w:val="24"/>
          <w:szCs w:val="24"/>
        </w:rPr>
        <w:t>丽水学院保卫处123室。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3. 获取方式：现场获取。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4.</w:t>
      </w:r>
      <w:r>
        <w:rPr>
          <w:rFonts w:hint="eastAsia" w:ascii="宋体" w:hAnsi="宋体" w:cs="宋体"/>
          <w:b/>
          <w:sz w:val="24"/>
          <w:szCs w:val="24"/>
        </w:rPr>
        <w:t>获取磋商文件时须向采购人提供以下资料</w:t>
      </w:r>
      <w:r>
        <w:rPr>
          <w:rFonts w:hint="eastAsia" w:ascii="宋体" w:hAnsi="宋体" w:cs="宋体"/>
          <w:sz w:val="24"/>
          <w:szCs w:val="24"/>
        </w:rPr>
        <w:t>：</w:t>
      </w:r>
    </w:p>
    <w:p>
      <w:pPr>
        <w:snapToGrid w:val="0"/>
        <w:spacing w:line="360" w:lineRule="auto"/>
        <w:ind w:firstLine="549" w:firstLineChars="225"/>
        <w:rPr>
          <w:rFonts w:ascii="宋体" w:hAnsi="宋体"/>
          <w:spacing w:val="2"/>
          <w:sz w:val="24"/>
          <w:szCs w:val="24"/>
        </w:rPr>
      </w:pPr>
      <w:r>
        <w:rPr>
          <w:rFonts w:hint="eastAsia" w:ascii="宋体" w:hAnsi="宋体"/>
          <w:spacing w:val="2"/>
          <w:sz w:val="24"/>
          <w:szCs w:val="24"/>
        </w:rPr>
        <w:t xml:space="preserve">  （</w:t>
      </w:r>
      <w:r>
        <w:rPr>
          <w:rFonts w:ascii="宋体" w:hAnsi="宋体"/>
          <w:spacing w:val="2"/>
          <w:sz w:val="24"/>
          <w:szCs w:val="24"/>
        </w:rPr>
        <w:t>1</w:t>
      </w:r>
      <w:r>
        <w:rPr>
          <w:rFonts w:hint="eastAsia" w:ascii="宋体" w:hAnsi="宋体"/>
          <w:spacing w:val="2"/>
          <w:sz w:val="24"/>
          <w:szCs w:val="24"/>
        </w:rPr>
        <w:t>）</w:t>
      </w:r>
      <w:r>
        <w:rPr>
          <w:rFonts w:ascii="宋体" w:hAnsi="宋体"/>
          <w:spacing w:val="2"/>
          <w:sz w:val="24"/>
          <w:szCs w:val="24"/>
        </w:rPr>
        <w:t>经</w:t>
      </w:r>
      <w:r>
        <w:rPr>
          <w:rFonts w:hint="eastAsia" w:ascii="宋体" w:hAnsi="宋体"/>
          <w:spacing w:val="2"/>
          <w:sz w:val="24"/>
          <w:szCs w:val="24"/>
        </w:rPr>
        <w:t>工商</w:t>
      </w:r>
      <w:r>
        <w:rPr>
          <w:rFonts w:ascii="宋体" w:hAnsi="宋体"/>
          <w:spacing w:val="2"/>
          <w:sz w:val="24"/>
          <w:szCs w:val="24"/>
        </w:rPr>
        <w:t>部门年检通过的</w:t>
      </w:r>
      <w:r>
        <w:rPr>
          <w:rFonts w:hint="eastAsia" w:ascii="宋体" w:hAnsi="宋体"/>
          <w:spacing w:val="2"/>
          <w:sz w:val="24"/>
          <w:szCs w:val="24"/>
        </w:rPr>
        <w:t>报名单位</w:t>
      </w:r>
      <w:r>
        <w:rPr>
          <w:rFonts w:ascii="宋体" w:hAnsi="宋体"/>
          <w:spacing w:val="2"/>
          <w:sz w:val="24"/>
          <w:szCs w:val="24"/>
        </w:rPr>
        <w:t>营业执照</w:t>
      </w:r>
      <w:r>
        <w:rPr>
          <w:rFonts w:hint="eastAsia" w:ascii="宋体" w:hAnsi="宋体"/>
          <w:spacing w:val="2"/>
          <w:sz w:val="24"/>
          <w:szCs w:val="24"/>
        </w:rPr>
        <w:t>副本及</w:t>
      </w:r>
      <w:r>
        <w:rPr>
          <w:rFonts w:ascii="宋体" w:hAnsi="宋体"/>
          <w:spacing w:val="2"/>
          <w:sz w:val="24"/>
          <w:szCs w:val="24"/>
        </w:rPr>
        <w:t>复印件</w:t>
      </w:r>
      <w:r>
        <w:rPr>
          <w:rFonts w:hint="eastAsia" w:ascii="宋体" w:hAnsi="宋体"/>
          <w:spacing w:val="2"/>
          <w:sz w:val="24"/>
          <w:szCs w:val="24"/>
        </w:rPr>
        <w:t>（加盖单位公章）</w:t>
      </w:r>
      <w:r>
        <w:rPr>
          <w:rFonts w:ascii="宋体" w:hAnsi="宋体"/>
          <w:spacing w:val="2"/>
          <w:sz w:val="24"/>
          <w:szCs w:val="24"/>
        </w:rPr>
        <w:t>；</w:t>
      </w:r>
    </w:p>
    <w:p>
      <w:pPr>
        <w:snapToGrid w:val="0"/>
        <w:spacing w:line="360" w:lineRule="auto"/>
        <w:ind w:firstLine="549" w:firstLineChars="225"/>
        <w:rPr>
          <w:rFonts w:ascii="宋体" w:hAnsi="宋体"/>
          <w:spacing w:val="2"/>
          <w:sz w:val="24"/>
          <w:szCs w:val="24"/>
        </w:rPr>
      </w:pPr>
      <w:r>
        <w:rPr>
          <w:rFonts w:hint="eastAsia" w:ascii="宋体" w:hAnsi="宋体"/>
          <w:spacing w:val="2"/>
          <w:sz w:val="24"/>
          <w:szCs w:val="24"/>
        </w:rPr>
        <w:t xml:space="preserve">  （</w:t>
      </w:r>
      <w:r>
        <w:rPr>
          <w:rFonts w:ascii="宋体" w:hAnsi="宋体"/>
          <w:spacing w:val="2"/>
          <w:sz w:val="24"/>
          <w:szCs w:val="24"/>
        </w:rPr>
        <w:t>2</w:t>
      </w:r>
      <w:r>
        <w:rPr>
          <w:rFonts w:hint="eastAsia" w:ascii="宋体" w:hAnsi="宋体"/>
          <w:spacing w:val="2"/>
          <w:sz w:val="24"/>
          <w:szCs w:val="24"/>
        </w:rPr>
        <w:t>）法人代表授权书（原件）；</w:t>
      </w:r>
    </w:p>
    <w:p>
      <w:pPr>
        <w:snapToGrid w:val="0"/>
        <w:spacing w:line="360" w:lineRule="auto"/>
        <w:ind w:firstLine="549" w:firstLineChars="225"/>
        <w:rPr>
          <w:rFonts w:ascii="宋体" w:hAnsi="宋体"/>
          <w:spacing w:val="2"/>
          <w:sz w:val="24"/>
          <w:szCs w:val="24"/>
        </w:rPr>
      </w:pPr>
      <w:r>
        <w:rPr>
          <w:rFonts w:hint="eastAsia" w:ascii="宋体" w:hAnsi="宋体"/>
          <w:spacing w:val="2"/>
          <w:sz w:val="24"/>
          <w:szCs w:val="24"/>
        </w:rPr>
        <w:t xml:space="preserve">  （3）</w:t>
      </w:r>
      <w:r>
        <w:rPr>
          <w:rFonts w:ascii="宋体" w:hAnsi="宋体"/>
          <w:spacing w:val="2"/>
          <w:sz w:val="24"/>
          <w:szCs w:val="24"/>
        </w:rPr>
        <w:t>报名人</w:t>
      </w:r>
      <w:r>
        <w:rPr>
          <w:rFonts w:hint="eastAsia" w:ascii="宋体" w:hAnsi="宋体"/>
          <w:spacing w:val="2"/>
          <w:sz w:val="24"/>
          <w:szCs w:val="24"/>
        </w:rPr>
        <w:t>有效</w:t>
      </w:r>
      <w:r>
        <w:rPr>
          <w:rFonts w:ascii="宋体" w:hAnsi="宋体"/>
          <w:spacing w:val="2"/>
          <w:sz w:val="24"/>
          <w:szCs w:val="24"/>
        </w:rPr>
        <w:t>身份证</w:t>
      </w:r>
      <w:r>
        <w:rPr>
          <w:rFonts w:hint="eastAsia" w:ascii="宋体" w:hAnsi="宋体"/>
          <w:spacing w:val="2"/>
          <w:sz w:val="24"/>
          <w:szCs w:val="24"/>
        </w:rPr>
        <w:t>件</w:t>
      </w:r>
      <w:r>
        <w:rPr>
          <w:rFonts w:ascii="宋体" w:hAnsi="宋体"/>
          <w:spacing w:val="2"/>
          <w:sz w:val="24"/>
          <w:szCs w:val="24"/>
        </w:rPr>
        <w:t>及复印件</w:t>
      </w:r>
      <w:r>
        <w:rPr>
          <w:rFonts w:hint="eastAsia" w:ascii="宋体" w:hAnsi="宋体"/>
          <w:spacing w:val="2"/>
          <w:sz w:val="24"/>
          <w:szCs w:val="24"/>
        </w:rPr>
        <w:t>；</w:t>
      </w:r>
    </w:p>
    <w:p>
      <w:pPr>
        <w:snapToGrid w:val="0"/>
        <w:spacing w:line="360" w:lineRule="auto"/>
        <w:ind w:firstLine="549" w:firstLineChars="225"/>
        <w:rPr>
          <w:rFonts w:ascii="宋体" w:hAnsi="宋体"/>
          <w:spacing w:val="2"/>
          <w:sz w:val="24"/>
          <w:szCs w:val="24"/>
        </w:rPr>
      </w:pPr>
      <w:r>
        <w:rPr>
          <w:rFonts w:hint="eastAsia" w:ascii="宋体" w:hAnsi="宋体"/>
          <w:spacing w:val="2"/>
          <w:sz w:val="24"/>
          <w:szCs w:val="24"/>
        </w:rPr>
        <w:t xml:space="preserve">  （4）报名人联系方式（电话、手机、电子邮箱）。</w:t>
      </w:r>
    </w:p>
    <w:p>
      <w:pPr>
        <w:snapToGrid w:val="0"/>
        <w:spacing w:line="360" w:lineRule="auto"/>
        <w:ind w:firstLine="549" w:firstLineChars="225"/>
        <w:rPr>
          <w:rFonts w:ascii="宋体" w:hAnsi="宋体"/>
          <w:spacing w:val="2"/>
          <w:sz w:val="24"/>
          <w:szCs w:val="24"/>
        </w:rPr>
      </w:pPr>
      <w:r>
        <w:rPr>
          <w:rFonts w:hint="eastAsia" w:ascii="宋体" w:hAnsi="宋体"/>
          <w:spacing w:val="2"/>
          <w:sz w:val="24"/>
          <w:szCs w:val="24"/>
        </w:rPr>
        <w:t xml:space="preserve">  （5）如有同类项目，提供业绩证明。</w:t>
      </w:r>
    </w:p>
    <w:p>
      <w:pPr>
        <w:tabs>
          <w:tab w:val="left" w:pos="-3060"/>
        </w:tabs>
        <w:spacing w:line="360" w:lineRule="auto"/>
        <w:ind w:firstLine="482" w:firstLineChars="200"/>
        <w:rPr>
          <w:rFonts w:hint="eastAsia" w:ascii="宋体" w:hAnsi="宋体"/>
          <w:b/>
          <w:sz w:val="24"/>
          <w:szCs w:val="24"/>
        </w:rPr>
      </w:pPr>
      <w:r>
        <w:rPr>
          <w:rFonts w:hint="eastAsia" w:ascii="宋体" w:hAnsi="宋体" w:cs="宋体"/>
          <w:b/>
          <w:bCs/>
          <w:sz w:val="24"/>
          <w:szCs w:val="24"/>
        </w:rPr>
        <w:t>八、</w:t>
      </w:r>
      <w:r>
        <w:rPr>
          <w:rFonts w:hint="eastAsia" w:ascii="宋体" w:hAnsi="宋体"/>
          <w:b/>
          <w:sz w:val="24"/>
          <w:szCs w:val="24"/>
        </w:rPr>
        <w:t>答疑和澄清</w:t>
      </w:r>
    </w:p>
    <w:p>
      <w:pPr>
        <w:tabs>
          <w:tab w:val="left" w:pos="-3060"/>
        </w:tabs>
        <w:spacing w:line="360" w:lineRule="auto"/>
        <w:ind w:firstLine="480" w:firstLineChars="200"/>
        <w:rPr>
          <w:rFonts w:ascii="宋体" w:hAnsi="宋体"/>
          <w:sz w:val="24"/>
          <w:szCs w:val="24"/>
        </w:rPr>
      </w:pPr>
      <w:r>
        <w:rPr>
          <w:rFonts w:hint="eastAsia" w:ascii="宋体" w:hAnsi="宋体"/>
          <w:sz w:val="24"/>
          <w:szCs w:val="24"/>
        </w:rPr>
        <w:t>供应商如对磋商文件有异议，应当于2021</w:t>
      </w:r>
      <w:r>
        <w:rPr>
          <w:rFonts w:ascii="宋体" w:hAnsi="宋体"/>
          <w:sz w:val="24"/>
          <w:szCs w:val="24"/>
        </w:rPr>
        <w:t>年</w:t>
      </w:r>
      <w:r>
        <w:rPr>
          <w:rFonts w:hint="eastAsia" w:ascii="宋体" w:hAnsi="宋体"/>
          <w:sz w:val="24"/>
          <w:szCs w:val="24"/>
        </w:rPr>
        <w:t>10</w:t>
      </w:r>
      <w:r>
        <w:rPr>
          <w:rFonts w:ascii="宋体" w:hAnsi="宋体"/>
          <w:sz w:val="24"/>
          <w:szCs w:val="24"/>
        </w:rPr>
        <w:t>月</w:t>
      </w:r>
      <w:r>
        <w:rPr>
          <w:rFonts w:hint="eastAsia" w:ascii="宋体" w:hAnsi="宋体"/>
          <w:sz w:val="24"/>
          <w:szCs w:val="24"/>
        </w:rPr>
        <w:t>19</w:t>
      </w:r>
      <w:r>
        <w:rPr>
          <w:rFonts w:ascii="宋体" w:hAnsi="宋体"/>
          <w:sz w:val="24"/>
          <w:szCs w:val="24"/>
        </w:rPr>
        <w:t>日</w:t>
      </w:r>
      <w:r>
        <w:rPr>
          <w:rFonts w:hint="eastAsia" w:ascii="宋体" w:hAnsi="宋体"/>
          <w:sz w:val="24"/>
          <w:szCs w:val="24"/>
        </w:rPr>
        <w:t xml:space="preserve"> 16：30 时之前，以书面形式向我方提出。</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九、</w:t>
      </w:r>
      <w:r>
        <w:rPr>
          <w:rFonts w:hint="eastAsia" w:ascii="宋体" w:hAnsi="宋体"/>
          <w:b/>
          <w:sz w:val="24"/>
          <w:szCs w:val="24"/>
        </w:rPr>
        <w:t>磋商响应文件递交</w:t>
      </w:r>
    </w:p>
    <w:p>
      <w:pPr>
        <w:tabs>
          <w:tab w:val="left" w:pos="-3060"/>
        </w:tabs>
        <w:spacing w:line="360" w:lineRule="auto"/>
        <w:ind w:firstLine="480" w:firstLineChars="200"/>
        <w:rPr>
          <w:rFonts w:hint="eastAsia" w:ascii="宋体" w:hAnsi="宋体"/>
          <w:sz w:val="24"/>
          <w:szCs w:val="24"/>
        </w:rPr>
      </w:pPr>
      <w:r>
        <w:rPr>
          <w:rFonts w:ascii="宋体" w:hAnsi="宋体"/>
          <w:sz w:val="24"/>
          <w:szCs w:val="24"/>
        </w:rPr>
        <w:t>响应</w:t>
      </w:r>
      <w:r>
        <w:rPr>
          <w:rFonts w:hint="eastAsia" w:ascii="宋体" w:hAnsi="宋体"/>
          <w:sz w:val="24"/>
          <w:szCs w:val="24"/>
        </w:rPr>
        <w:t>文件必须以密封形式于2021</w:t>
      </w:r>
      <w:r>
        <w:rPr>
          <w:rFonts w:ascii="宋体" w:hAnsi="宋体"/>
          <w:sz w:val="24"/>
          <w:szCs w:val="24"/>
        </w:rPr>
        <w:t>年</w:t>
      </w:r>
      <w:r>
        <w:rPr>
          <w:rFonts w:hint="eastAsia" w:ascii="宋体" w:hAnsi="宋体"/>
          <w:sz w:val="24"/>
          <w:szCs w:val="24"/>
        </w:rPr>
        <w:t>10</w:t>
      </w:r>
      <w:r>
        <w:rPr>
          <w:rFonts w:ascii="宋体" w:hAnsi="宋体"/>
          <w:sz w:val="24"/>
          <w:szCs w:val="24"/>
        </w:rPr>
        <w:t>月</w:t>
      </w:r>
      <w:r>
        <w:rPr>
          <w:rFonts w:hint="eastAsia" w:ascii="宋体" w:hAnsi="宋体"/>
          <w:sz w:val="24"/>
          <w:szCs w:val="24"/>
        </w:rPr>
        <w:t>22</w:t>
      </w:r>
      <w:r>
        <w:rPr>
          <w:rFonts w:ascii="宋体" w:hAnsi="宋体"/>
          <w:sz w:val="24"/>
          <w:szCs w:val="24"/>
        </w:rPr>
        <w:t>日</w:t>
      </w:r>
      <w:r>
        <w:rPr>
          <w:rFonts w:hint="eastAsia" w:ascii="宋体" w:hAnsi="宋体"/>
          <w:sz w:val="24"/>
          <w:szCs w:val="24"/>
        </w:rPr>
        <w:t xml:space="preserve"> 09：00时（北京时间）前递交至丽水学院保卫处123室，逾期不予接收。</w:t>
      </w:r>
    </w:p>
    <w:p>
      <w:pPr>
        <w:snapToGrid w:val="0"/>
        <w:spacing w:line="360" w:lineRule="auto"/>
        <w:ind w:firstLine="510"/>
        <w:jc w:val="left"/>
        <w:rPr>
          <w:rFonts w:hint="eastAsia" w:ascii="宋体" w:hAnsi="宋体" w:cs="宋体"/>
          <w:sz w:val="24"/>
          <w:szCs w:val="24"/>
        </w:rPr>
      </w:pPr>
      <w:r>
        <w:rPr>
          <w:rFonts w:hint="eastAsia" w:ascii="宋体" w:hAnsi="宋体" w:cs="宋体"/>
          <w:b/>
          <w:bCs/>
          <w:sz w:val="24"/>
          <w:szCs w:val="24"/>
        </w:rPr>
        <w:t>十、磋商时间：</w:t>
      </w:r>
      <w:r>
        <w:rPr>
          <w:rFonts w:hint="eastAsia" w:ascii="宋体" w:hAnsi="宋体" w:cs="宋体"/>
          <w:sz w:val="24"/>
          <w:szCs w:val="24"/>
        </w:rPr>
        <w:t>2021年10月22日9：00时（北京时间）。</w:t>
      </w:r>
    </w:p>
    <w:p>
      <w:pPr>
        <w:snapToGrid w:val="0"/>
        <w:spacing w:line="360" w:lineRule="auto"/>
        <w:ind w:firstLine="510"/>
        <w:jc w:val="left"/>
        <w:rPr>
          <w:rFonts w:hint="eastAsia" w:ascii="宋体" w:hAnsi="宋体" w:cs="宋体"/>
          <w:sz w:val="24"/>
          <w:szCs w:val="24"/>
        </w:rPr>
      </w:pPr>
      <w:r>
        <w:rPr>
          <w:rFonts w:hint="eastAsia" w:ascii="宋体" w:hAnsi="宋体" w:cs="宋体"/>
          <w:b/>
          <w:sz w:val="24"/>
          <w:szCs w:val="24"/>
        </w:rPr>
        <w:t>十一、</w:t>
      </w:r>
      <w:r>
        <w:rPr>
          <w:rFonts w:hint="eastAsia" w:ascii="宋体" w:hAnsi="宋体"/>
          <w:b/>
          <w:bCs/>
          <w:sz w:val="24"/>
          <w:szCs w:val="24"/>
        </w:rPr>
        <w:t>磋商</w:t>
      </w:r>
      <w:r>
        <w:rPr>
          <w:rFonts w:hint="eastAsia" w:ascii="宋体" w:hAnsi="宋体" w:cs="宋体"/>
          <w:b/>
          <w:sz w:val="24"/>
          <w:szCs w:val="24"/>
        </w:rPr>
        <w:t>地点：</w:t>
      </w:r>
      <w:r>
        <w:rPr>
          <w:rFonts w:hint="eastAsia" w:ascii="宋体" w:hAnsi="宋体" w:cs="宋体"/>
          <w:color w:val="000000"/>
          <w:sz w:val="24"/>
          <w:szCs w:val="24"/>
        </w:rPr>
        <w:t>丽水学院保卫处会议室。</w:t>
      </w:r>
    </w:p>
    <w:p>
      <w:pPr>
        <w:tabs>
          <w:tab w:val="left" w:pos="540"/>
        </w:tabs>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十二、资格审查</w:t>
      </w:r>
    </w:p>
    <w:p>
      <w:pPr>
        <w:spacing w:line="360" w:lineRule="auto"/>
        <w:ind w:firstLine="520" w:firstLineChars="217"/>
        <w:rPr>
          <w:rFonts w:ascii="宋体" w:hAnsi="宋体" w:cs="宋体"/>
          <w:color w:val="000000"/>
          <w:sz w:val="24"/>
          <w:szCs w:val="24"/>
        </w:rPr>
      </w:pPr>
      <w:r>
        <w:rPr>
          <w:rFonts w:hint="eastAsia" w:ascii="宋体" w:hAnsi="宋体" w:cs="宋体"/>
          <w:color w:val="000000"/>
          <w:sz w:val="24"/>
          <w:szCs w:val="24"/>
        </w:rPr>
        <w:t>资格审查采用后审制，接受供应商报名或递交磋商响应文件不表明已获参与磋商资格，经磋商小组审查合格的供应商才有资格参与磋商，不符合本项目资格要求的作为无效响应处理,其造成的损失由供应商自行承担。</w:t>
      </w:r>
    </w:p>
    <w:p>
      <w:pPr>
        <w:spacing w:line="360" w:lineRule="auto"/>
        <w:ind w:firstLine="482" w:firstLineChars="200"/>
        <w:rPr>
          <w:rFonts w:hint="eastAsia" w:ascii="宋体" w:hAnsi="宋体"/>
          <w:b/>
          <w:sz w:val="24"/>
          <w:szCs w:val="24"/>
        </w:rPr>
      </w:pPr>
      <w:r>
        <w:rPr>
          <w:rFonts w:hint="eastAsia" w:ascii="宋体" w:hAnsi="宋体" w:cs="宋体"/>
          <w:b/>
          <w:sz w:val="24"/>
          <w:szCs w:val="24"/>
        </w:rPr>
        <w:t>十三、磋商咨询</w:t>
      </w:r>
    </w:p>
    <w:p>
      <w:pPr>
        <w:spacing w:line="360" w:lineRule="auto"/>
        <w:ind w:firstLine="480" w:firstLineChars="200"/>
        <w:rPr>
          <w:rFonts w:hint="eastAsia" w:ascii="宋体" w:hAnsi="宋体"/>
          <w:b/>
          <w:sz w:val="24"/>
          <w:szCs w:val="24"/>
        </w:rPr>
      </w:pPr>
      <w:r>
        <w:rPr>
          <w:rFonts w:hint="eastAsia" w:ascii="宋体" w:hAnsi="宋体" w:cs="宋体"/>
          <w:color w:val="000000"/>
          <w:sz w:val="24"/>
          <w:szCs w:val="24"/>
        </w:rPr>
        <w:t>磋商文件发放、供应商报名联系人</w:t>
      </w:r>
      <w:r>
        <w:rPr>
          <w:rFonts w:ascii="宋体" w:hAnsi="宋体" w:cs="宋体"/>
          <w:color w:val="000000"/>
          <w:sz w:val="24"/>
          <w:szCs w:val="24"/>
        </w:rPr>
        <w:t>：</w:t>
      </w:r>
      <w:r>
        <w:rPr>
          <w:rFonts w:hint="eastAsia" w:ascii="宋体" w:hAnsi="宋体" w:cs="宋体"/>
          <w:color w:val="000000"/>
          <w:sz w:val="24"/>
          <w:szCs w:val="24"/>
        </w:rPr>
        <w:t>胡老师   联系电话：</w:t>
      </w:r>
      <w:r>
        <w:fldChar w:fldCharType="begin"/>
      </w:r>
      <w:r>
        <w:instrText xml:space="preserve"> HYPERLINK "http://my.lsu.edu.cn/tel:2271501" </w:instrText>
      </w:r>
      <w:r>
        <w:fldChar w:fldCharType="separate"/>
      </w:r>
      <w:r>
        <w:rPr>
          <w:rFonts w:hint="eastAsia" w:ascii="宋体" w:hAnsi="宋体" w:cs="宋体"/>
          <w:color w:val="000000"/>
          <w:sz w:val="24"/>
          <w:szCs w:val="24"/>
        </w:rPr>
        <w:t>2271501</w:t>
      </w:r>
      <w:r>
        <w:rPr>
          <w:rFonts w:hint="eastAsia" w:ascii="宋体" w:hAnsi="宋体" w:cs="宋体"/>
          <w:color w:val="000000"/>
          <w:sz w:val="24"/>
          <w:szCs w:val="24"/>
        </w:rPr>
        <w:fldChar w:fldCharType="end"/>
      </w:r>
    </w:p>
    <w:p>
      <w:pPr>
        <w:spacing w:line="360" w:lineRule="auto"/>
        <w:ind w:firstLine="480" w:firstLineChars="200"/>
        <w:rPr>
          <w:rFonts w:hint="eastAsia" w:ascii="宋体" w:hAnsi="宋体"/>
          <w:b/>
          <w:sz w:val="24"/>
          <w:szCs w:val="24"/>
        </w:rPr>
      </w:pPr>
      <w:r>
        <w:rPr>
          <w:rFonts w:hint="eastAsia" w:ascii="宋体" w:hAnsi="宋体" w:cs="宋体"/>
          <w:color w:val="000000"/>
          <w:sz w:val="24"/>
          <w:szCs w:val="24"/>
        </w:rPr>
        <w:t>采购监管及投诉受理联系电话：</w:t>
      </w:r>
      <w:r>
        <w:fldChar w:fldCharType="begin"/>
      </w:r>
      <w:r>
        <w:instrText xml:space="preserve"> HYPERLINK "http://my.lsu.edu.cn/tel:2297715" </w:instrText>
      </w:r>
      <w:r>
        <w:fldChar w:fldCharType="separate"/>
      </w:r>
      <w:r>
        <w:rPr>
          <w:rFonts w:hint="eastAsia" w:ascii="宋体" w:hAnsi="宋体" w:cs="宋体"/>
          <w:color w:val="000000"/>
          <w:sz w:val="24"/>
          <w:szCs w:val="24"/>
        </w:rPr>
        <w:t>2297715</w:t>
      </w:r>
      <w:r>
        <w:rPr>
          <w:rFonts w:hint="eastAsia" w:ascii="宋体" w:hAnsi="宋体" w:cs="宋体"/>
          <w:color w:val="000000"/>
          <w:sz w:val="24"/>
          <w:szCs w:val="24"/>
        </w:rPr>
        <w:fldChar w:fldCharType="end"/>
      </w:r>
      <w:r>
        <w:rPr>
          <w:rFonts w:hint="eastAsia" w:ascii="宋体" w:hAnsi="宋体" w:cs="宋体"/>
          <w:color w:val="000000"/>
          <w:sz w:val="24"/>
          <w:szCs w:val="24"/>
        </w:rPr>
        <w:t>、</w:t>
      </w:r>
      <w:r>
        <w:fldChar w:fldCharType="begin"/>
      </w:r>
      <w:r>
        <w:instrText xml:space="preserve"> HYPERLINK "http://my.lsu.edu.cn/tel:2271165" </w:instrText>
      </w:r>
      <w:r>
        <w:fldChar w:fldCharType="separate"/>
      </w:r>
      <w:r>
        <w:rPr>
          <w:rFonts w:hint="eastAsia" w:ascii="宋体" w:hAnsi="宋体" w:cs="宋体"/>
          <w:color w:val="000000"/>
          <w:sz w:val="24"/>
          <w:szCs w:val="24"/>
        </w:rPr>
        <w:t>227115</w:t>
      </w:r>
      <w:r>
        <w:rPr>
          <w:rFonts w:hint="eastAsia" w:ascii="宋体" w:hAnsi="宋体" w:cs="宋体"/>
          <w:color w:val="000000"/>
          <w:sz w:val="24"/>
          <w:szCs w:val="24"/>
        </w:rPr>
        <w:fldChar w:fldCharType="end"/>
      </w:r>
      <w:r>
        <w:rPr>
          <w:rFonts w:hint="eastAsia" w:ascii="宋体" w:hAnsi="宋体" w:cs="宋体"/>
          <w:color w:val="000000"/>
          <w:sz w:val="24"/>
          <w:szCs w:val="24"/>
        </w:rPr>
        <w:t>3</w:t>
      </w:r>
    </w:p>
    <w:p>
      <w:pPr>
        <w:spacing w:line="360" w:lineRule="auto"/>
        <w:ind w:firstLine="482" w:firstLineChars="200"/>
        <w:rPr>
          <w:rFonts w:hint="eastAsia" w:ascii="宋体" w:hAnsi="宋体"/>
          <w:b/>
          <w:sz w:val="24"/>
          <w:szCs w:val="24"/>
        </w:rPr>
      </w:pPr>
      <w:r>
        <w:rPr>
          <w:rFonts w:hint="eastAsia" w:ascii="宋体" w:hAnsi="宋体" w:cs="宋体"/>
          <w:b/>
          <w:color w:val="000000"/>
          <w:sz w:val="24"/>
          <w:szCs w:val="24"/>
        </w:rPr>
        <w:t>十四、本次磋商信息公告媒体</w:t>
      </w:r>
    </w:p>
    <w:p>
      <w:pPr>
        <w:spacing w:line="360" w:lineRule="auto"/>
        <w:ind w:firstLine="480" w:firstLineChars="200"/>
        <w:rPr>
          <w:rFonts w:hint="eastAsia" w:ascii="宋体" w:hAnsi="宋体"/>
          <w:b/>
          <w:sz w:val="24"/>
          <w:szCs w:val="24"/>
        </w:rPr>
      </w:pPr>
      <w:r>
        <w:rPr>
          <w:rFonts w:hint="eastAsia" w:ascii="宋体" w:hAnsi="宋体" w:cs="宋体"/>
          <w:color w:val="000000"/>
          <w:sz w:val="24"/>
          <w:szCs w:val="24"/>
        </w:rPr>
        <w:t>丽水学院保卫处</w:t>
      </w:r>
      <w:r>
        <w:rPr>
          <w:rFonts w:ascii="宋体" w:hAnsi="宋体" w:cs="宋体"/>
          <w:color w:val="000000"/>
          <w:sz w:val="24"/>
          <w:szCs w:val="24"/>
        </w:rPr>
        <w:t>网站</w:t>
      </w:r>
      <w:r>
        <w:rPr>
          <w:rFonts w:hint="eastAsia" w:ascii="宋体" w:hAnsi="宋体" w:cs="宋体"/>
          <w:color w:val="000000"/>
          <w:sz w:val="24"/>
          <w:szCs w:val="24"/>
        </w:rPr>
        <w:t>http://bwc.lsu.edu.cn/</w:t>
      </w:r>
    </w:p>
    <w:p>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十五、履约保证金的缴纳与退还</w:t>
      </w:r>
    </w:p>
    <w:p>
      <w:pPr>
        <w:spacing w:line="360" w:lineRule="auto"/>
        <w:ind w:firstLine="480" w:firstLineChars="200"/>
        <w:rPr>
          <w:rFonts w:ascii="宋体" w:hAnsi="宋体" w:cs="宋体"/>
          <w:b/>
          <w:color w:val="000000"/>
          <w:sz w:val="24"/>
          <w:szCs w:val="24"/>
        </w:rPr>
      </w:pPr>
      <w:r>
        <w:rPr>
          <w:rFonts w:hint="eastAsia" w:ascii="宋体" w:hAnsi="宋体"/>
          <w:sz w:val="24"/>
          <w:szCs w:val="24"/>
        </w:rPr>
        <w:t xml:space="preserve"> 1.</w:t>
      </w:r>
      <w:r>
        <w:rPr>
          <w:rFonts w:hint="eastAsia" w:ascii="宋体" w:hAnsi="宋体"/>
          <w:b/>
          <w:sz w:val="24"/>
          <w:szCs w:val="24"/>
        </w:rPr>
        <w:t xml:space="preserve"> </w:t>
      </w:r>
      <w:r>
        <w:rPr>
          <w:rFonts w:hint="eastAsia" w:ascii="宋体" w:hAnsi="宋体"/>
          <w:sz w:val="24"/>
          <w:szCs w:val="24"/>
        </w:rPr>
        <w:t>乙方须在合同签定后三日内缴纳履约保证金，缴纳履约保证金人民币5万元。</w:t>
      </w:r>
    </w:p>
    <w:p>
      <w:pPr>
        <w:spacing w:line="360" w:lineRule="auto"/>
        <w:ind w:firstLine="720" w:firstLineChars="300"/>
        <w:rPr>
          <w:rFonts w:ascii="宋体" w:hAnsi="宋体"/>
          <w:sz w:val="24"/>
          <w:szCs w:val="24"/>
        </w:rPr>
      </w:pPr>
      <w:r>
        <w:rPr>
          <w:rFonts w:hint="eastAsia" w:ascii="宋体" w:hAnsi="宋体"/>
          <w:sz w:val="24"/>
          <w:szCs w:val="24"/>
        </w:rPr>
        <w:t xml:space="preserve">  开户名：丽水学院</w:t>
      </w:r>
    </w:p>
    <w:p>
      <w:pPr>
        <w:spacing w:line="360" w:lineRule="auto"/>
        <w:ind w:firstLine="720" w:firstLineChars="300"/>
        <w:rPr>
          <w:rFonts w:ascii="宋体" w:hAnsi="宋体"/>
          <w:sz w:val="24"/>
          <w:szCs w:val="24"/>
        </w:rPr>
      </w:pPr>
      <w:r>
        <w:rPr>
          <w:rFonts w:hint="eastAsia" w:ascii="宋体" w:hAnsi="宋体"/>
          <w:sz w:val="24"/>
          <w:szCs w:val="24"/>
        </w:rPr>
        <w:t xml:space="preserve">  开户银行：丽水市工商银行处州支行</w:t>
      </w:r>
    </w:p>
    <w:p>
      <w:pPr>
        <w:spacing w:line="360" w:lineRule="auto"/>
        <w:ind w:firstLine="720" w:firstLineChars="300"/>
        <w:rPr>
          <w:rFonts w:ascii="宋体" w:hAnsi="宋体"/>
          <w:sz w:val="24"/>
          <w:szCs w:val="24"/>
        </w:rPr>
      </w:pPr>
      <w:r>
        <w:rPr>
          <w:rFonts w:hint="eastAsia" w:ascii="宋体" w:hAnsi="宋体"/>
          <w:sz w:val="24"/>
          <w:szCs w:val="24"/>
        </w:rPr>
        <w:t xml:space="preserve">  开户账号：1210200009200000896 </w:t>
      </w:r>
    </w:p>
    <w:p>
      <w:pPr>
        <w:spacing w:line="360" w:lineRule="auto"/>
        <w:ind w:firstLine="480" w:firstLineChars="200"/>
        <w:rPr>
          <w:rFonts w:ascii="宋体" w:hAnsi="宋体"/>
          <w:sz w:val="24"/>
          <w:szCs w:val="24"/>
        </w:rPr>
      </w:pPr>
      <w:r>
        <w:rPr>
          <w:rFonts w:hint="eastAsia" w:ascii="宋体" w:hAnsi="宋体"/>
          <w:sz w:val="24"/>
          <w:szCs w:val="24"/>
        </w:rPr>
        <w:t xml:space="preserve"> 2. 履约保证金的退还：无质量问题或其他方面问题，合同期满后5日内无息退还。退还途径：乙方出具交纳保证金凭证、收据、本单位的开户银行和账号，甲方以转账方式退还。</w:t>
      </w:r>
    </w:p>
    <w:p>
      <w:pPr>
        <w:spacing w:line="360" w:lineRule="auto"/>
        <w:ind w:firstLine="480" w:firstLineChars="200"/>
        <w:rPr>
          <w:rFonts w:hint="eastAsia" w:ascii="宋体" w:hAnsi="宋体"/>
          <w:sz w:val="24"/>
          <w:szCs w:val="24"/>
        </w:rPr>
      </w:pPr>
      <w:r>
        <w:rPr>
          <w:rFonts w:hint="eastAsia" w:ascii="宋体" w:hAnsi="宋体"/>
          <w:sz w:val="24"/>
          <w:szCs w:val="24"/>
        </w:rPr>
        <w:t xml:space="preserve"> 3. 履约保证金缴纳方式：转账（对公方式）。</w:t>
      </w:r>
    </w:p>
    <w:p>
      <w:pPr>
        <w:spacing w:line="360" w:lineRule="auto"/>
        <w:ind w:firstLine="482" w:firstLineChars="200"/>
        <w:rPr>
          <w:rFonts w:hint="eastAsia" w:ascii="宋体" w:hAnsi="宋体"/>
          <w:sz w:val="24"/>
          <w:szCs w:val="24"/>
        </w:rPr>
      </w:pPr>
      <w:r>
        <w:rPr>
          <w:rFonts w:hint="eastAsia" w:ascii="宋体" w:hAnsi="宋体"/>
          <w:b/>
          <w:color w:val="000000"/>
          <w:sz w:val="24"/>
          <w:szCs w:val="24"/>
        </w:rPr>
        <w:t>十六、注意事项</w:t>
      </w:r>
    </w:p>
    <w:p>
      <w:pPr>
        <w:spacing w:line="360" w:lineRule="auto"/>
        <w:ind w:firstLine="482" w:firstLineChars="200"/>
        <w:rPr>
          <w:rFonts w:ascii="宋体" w:hAnsi="宋体"/>
          <w:b/>
          <w:sz w:val="24"/>
          <w:szCs w:val="24"/>
        </w:rPr>
      </w:pPr>
      <w:r>
        <w:rPr>
          <w:rFonts w:hint="eastAsia" w:ascii="宋体" w:hAnsi="宋体"/>
          <w:b/>
          <w:sz w:val="24"/>
          <w:szCs w:val="24"/>
        </w:rPr>
        <w:t>1. ▲</w:t>
      </w:r>
      <w:r>
        <w:rPr>
          <w:rFonts w:ascii="宋体" w:hAnsi="宋体"/>
          <w:b/>
          <w:sz w:val="24"/>
          <w:szCs w:val="24"/>
        </w:rPr>
        <w:t>请各供应商在报名时务必按以上要求进行，否则，我</w:t>
      </w:r>
      <w:r>
        <w:rPr>
          <w:rFonts w:hint="eastAsia" w:ascii="宋体" w:hAnsi="宋体"/>
          <w:b/>
          <w:sz w:val="24"/>
          <w:szCs w:val="24"/>
        </w:rPr>
        <w:t>处</w:t>
      </w:r>
      <w:r>
        <w:rPr>
          <w:rFonts w:ascii="宋体" w:hAnsi="宋体"/>
          <w:b/>
          <w:sz w:val="24"/>
          <w:szCs w:val="24"/>
        </w:rPr>
        <w:t>有权拒绝其投标。不符合本项目投标资格的投标供应商即便取得标书</w:t>
      </w:r>
      <w:r>
        <w:rPr>
          <w:rFonts w:hint="eastAsia" w:ascii="宋体" w:hAnsi="宋体"/>
          <w:b/>
          <w:sz w:val="24"/>
          <w:szCs w:val="24"/>
        </w:rPr>
        <w:t>，</w:t>
      </w:r>
      <w:r>
        <w:rPr>
          <w:rFonts w:ascii="宋体" w:hAnsi="宋体"/>
          <w:b/>
          <w:sz w:val="24"/>
          <w:szCs w:val="24"/>
        </w:rPr>
        <w:t>开标后一旦发现其资格不符合本项目资格要求，作为无效投标处理。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 新冠病毒疫情防控期间，请各投标人严格遵守丽水学院关于疫情防控的规定，并服从现场管理。</w:t>
      </w:r>
    </w:p>
    <w:p>
      <w:pPr>
        <w:spacing w:line="360" w:lineRule="auto"/>
        <w:rPr>
          <w:rFonts w:ascii="宋体" w:hAnsi="Courier New"/>
          <w:b/>
          <w:kern w:val="0"/>
        </w:rPr>
      </w:pPr>
    </w:p>
    <w:p>
      <w:pPr>
        <w:spacing w:line="360" w:lineRule="auto"/>
        <w:rPr>
          <w:rFonts w:ascii="宋体" w:hAnsi="Courier New"/>
          <w:kern w:val="0"/>
        </w:rPr>
      </w:pPr>
    </w:p>
    <w:p>
      <w:pPr>
        <w:spacing w:line="360" w:lineRule="auto"/>
        <w:rPr>
          <w:rFonts w:ascii="宋体" w:hAnsi="Courier New"/>
          <w:kern w:val="0"/>
        </w:rPr>
      </w:pPr>
    </w:p>
    <w:p>
      <w:pPr>
        <w:spacing w:line="360" w:lineRule="auto"/>
        <w:rPr>
          <w:rFonts w:ascii="宋体" w:hAnsi="Courier New"/>
          <w:kern w:val="0"/>
        </w:rPr>
      </w:pPr>
    </w:p>
    <w:p>
      <w:pPr>
        <w:spacing w:line="360" w:lineRule="auto"/>
        <w:jc w:val="right"/>
        <w:rPr>
          <w:rFonts w:hint="eastAsia" w:ascii="宋体" w:hAnsi="宋体"/>
          <w:sz w:val="24"/>
        </w:rPr>
      </w:pPr>
      <w:r>
        <w:rPr>
          <w:rFonts w:hint="eastAsia" w:ascii="宋体" w:hAnsi="宋体"/>
          <w:sz w:val="24"/>
        </w:rPr>
        <w:t>采购人：丽水学院保卫处</w:t>
      </w:r>
    </w:p>
    <w:p>
      <w:pPr>
        <w:spacing w:line="360" w:lineRule="auto"/>
        <w:jc w:val="right"/>
        <w:rPr>
          <w:rFonts w:hint="eastAsia" w:ascii="宋体" w:hAnsi="宋体"/>
          <w:sz w:val="24"/>
        </w:rPr>
      </w:pPr>
      <w:r>
        <w:rPr>
          <w:rFonts w:hint="eastAsia" w:ascii="宋体" w:hAnsi="宋体"/>
          <w:sz w:val="24"/>
        </w:rPr>
        <w:t>日期：2021年10月</w:t>
      </w:r>
      <w:r>
        <w:rPr>
          <w:rFonts w:hint="eastAsia" w:ascii="宋体" w:hAnsi="宋体"/>
          <w:color w:val="auto"/>
          <w:sz w:val="24"/>
        </w:rPr>
        <w:t>11</w:t>
      </w:r>
      <w:r>
        <w:rPr>
          <w:rFonts w:hint="eastAsia" w:ascii="宋体" w:hAnsi="宋体"/>
          <w:sz w:val="24"/>
        </w:rPr>
        <w:t>日</w:t>
      </w:r>
    </w:p>
    <w:p>
      <w:pPr>
        <w:spacing w:line="360" w:lineRule="auto"/>
        <w:jc w:val="right"/>
        <w:rPr>
          <w:rFonts w:hint="eastAsia" w:ascii="宋体" w:hAnsi="宋体"/>
          <w:sz w:val="24"/>
        </w:rPr>
      </w:pPr>
      <w:r>
        <w:rPr>
          <w:rFonts w:hint="eastAsia" w:ascii="宋体" w:hAnsi="宋体"/>
          <w:sz w:val="24"/>
        </w:rPr>
        <w:t xml:space="preserve">                            </w:t>
      </w: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rPr>
          <w:rFonts w:hint="eastAsia"/>
        </w:rPr>
      </w:pPr>
    </w:p>
    <w:p>
      <w:pPr>
        <w:pStyle w:val="51"/>
        <w:jc w:val="center"/>
      </w:pPr>
      <w:r>
        <w:rPr>
          <w:rFonts w:hint="eastAsia"/>
        </w:rPr>
        <w:t>第二章供应商须知</w:t>
      </w:r>
    </w:p>
    <w:p>
      <w:pPr>
        <w:snapToGrid w:val="0"/>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前附表</w:t>
      </w:r>
    </w:p>
    <w:tbl>
      <w:tblPr>
        <w:tblStyle w:val="22"/>
        <w:tblW w:w="9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1"/>
        <w:gridCol w:w="8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16" w:firstLineChars="1750"/>
              <w:rPr>
                <w:rFonts w:asciiTheme="majorEastAsia" w:hAnsiTheme="majorEastAsia" w:eastAsiaTheme="majorEastAsia"/>
                <w:b/>
                <w:sz w:val="24"/>
                <w:szCs w:val="24"/>
              </w:rPr>
            </w:pPr>
            <w:r>
              <w:rPr>
                <w:rFonts w:hint="eastAsia" w:asciiTheme="majorEastAsia" w:hAnsiTheme="majorEastAsia" w:eastAsiaTheme="majorEastAsia"/>
                <w:b/>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项目名称：</w:t>
            </w:r>
            <w:r>
              <w:rPr>
                <w:rFonts w:hint="eastAsia" w:ascii="宋体" w:hAnsi="宋体"/>
                <w:bCs/>
                <w:sz w:val="24"/>
                <w:szCs w:val="24"/>
              </w:rPr>
              <w:t>丽水学院共享电动车服务项目，</w:t>
            </w:r>
            <w:r>
              <w:rPr>
                <w:rFonts w:hint="eastAsia" w:asciiTheme="majorEastAsia" w:hAnsiTheme="majorEastAsia" w:eastAsiaTheme="majorEastAsia"/>
                <w:sz w:val="24"/>
                <w:szCs w:val="24"/>
              </w:rPr>
              <w:t>项目概况</w:t>
            </w:r>
            <w:r>
              <w:rPr>
                <w:rFonts w:hint="eastAsia" w:asciiTheme="majorEastAsia" w:hAnsiTheme="majorEastAsia" w:eastAsiaTheme="majorEastAsia"/>
                <w:bCs/>
                <w:sz w:val="24"/>
                <w:szCs w:val="24"/>
              </w:rPr>
              <w:t>详见</w:t>
            </w:r>
            <w:r>
              <w:rPr>
                <w:rFonts w:hint="eastAsia" w:asciiTheme="majorEastAsia" w:hAnsiTheme="majorEastAsia" w:eastAsiaTheme="majorEastAsia"/>
                <w:sz w:val="24"/>
                <w:szCs w:val="24"/>
              </w:rPr>
              <w:t>《竞争性磋商公告》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供应商资格要求详见《竞争性磋商公告》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Theme="majorEastAsia" w:hAnsiTheme="majorEastAsia" w:eastAsiaTheme="majorEastAsia"/>
                <w:sz w:val="24"/>
                <w:szCs w:val="24"/>
              </w:rPr>
            </w:pPr>
            <w:r>
              <w:rPr>
                <w:rFonts w:hint="eastAsia" w:ascii="宋体" w:hAnsi="宋体"/>
                <w:bCs/>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Theme="majorEastAsia" w:hAnsiTheme="majorEastAsia" w:eastAsiaTheme="majorEastAsia"/>
                <w:bCs/>
                <w:sz w:val="24"/>
                <w:szCs w:val="24"/>
              </w:rPr>
            </w:pPr>
            <w:r>
              <w:rPr>
                <w:rFonts w:hint="eastAsia" w:asciiTheme="majorEastAsia" w:hAnsiTheme="majorEastAsia" w:eastAsiaTheme="majorEastAsia"/>
                <w:bCs/>
                <w:sz w:val="24"/>
                <w:szCs w:val="24"/>
              </w:rPr>
              <w:t>采购人：丽水学院保卫处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8110" w:type="dxa"/>
            <w:tcBorders>
              <w:top w:val="single" w:color="auto" w:sz="4" w:space="0"/>
              <w:left w:val="single" w:color="auto" w:sz="4" w:space="0"/>
              <w:bottom w:val="single" w:color="auto" w:sz="4" w:space="0"/>
              <w:right w:val="single" w:color="auto" w:sz="4" w:space="0"/>
            </w:tcBorders>
            <w:vAlign w:val="center"/>
          </w:tcPr>
          <w:p>
            <w:pPr>
              <w:ind w:left="118" w:hanging="117" w:hangingChars="49"/>
              <w:rPr>
                <w:rFonts w:hint="eastAsia" w:ascii="宋体" w:hAnsi="宋体"/>
                <w:bCs/>
                <w:color w:val="000000"/>
                <w:sz w:val="24"/>
                <w:szCs w:val="24"/>
                <w:u w:val="single"/>
              </w:rPr>
            </w:pPr>
            <w:r>
              <w:rPr>
                <w:rFonts w:hint="eastAsia" w:ascii="宋体" w:hAnsi="宋体" w:cs="宋体"/>
                <w:bCs/>
                <w:color w:val="000000"/>
                <w:sz w:val="24"/>
                <w:szCs w:val="24"/>
              </w:rPr>
              <w:t>磋商文件递交</w:t>
            </w:r>
            <w:r>
              <w:rPr>
                <w:rFonts w:hint="eastAsia" w:ascii="宋体" w:hAnsi="宋体"/>
                <w:color w:val="000000"/>
                <w:sz w:val="24"/>
                <w:szCs w:val="24"/>
              </w:rPr>
              <w:t>截止时间：</w:t>
            </w:r>
            <w:r>
              <w:rPr>
                <w:rFonts w:ascii="宋体" w:hAnsi="宋体"/>
                <w:bCs/>
                <w:color w:val="000000"/>
                <w:sz w:val="24"/>
                <w:szCs w:val="24"/>
                <w:u w:val="single"/>
              </w:rPr>
              <w:t>202</w:t>
            </w:r>
            <w:r>
              <w:rPr>
                <w:rFonts w:hint="eastAsia" w:ascii="宋体" w:hAnsi="宋体"/>
                <w:bCs/>
                <w:color w:val="000000"/>
                <w:sz w:val="24"/>
                <w:szCs w:val="24"/>
                <w:u w:val="single"/>
              </w:rPr>
              <w:t>1</w:t>
            </w:r>
            <w:r>
              <w:rPr>
                <w:rFonts w:ascii="宋体" w:hAnsi="宋体"/>
                <w:bCs/>
                <w:color w:val="000000"/>
                <w:sz w:val="24"/>
                <w:szCs w:val="24"/>
                <w:u w:val="single"/>
              </w:rPr>
              <w:t>年</w:t>
            </w:r>
            <w:r>
              <w:rPr>
                <w:rFonts w:hint="eastAsia" w:ascii="宋体" w:hAnsi="宋体"/>
                <w:bCs/>
                <w:color w:val="000000"/>
                <w:sz w:val="24"/>
                <w:szCs w:val="24"/>
                <w:u w:val="single"/>
              </w:rPr>
              <w:t>10</w:t>
            </w:r>
            <w:r>
              <w:rPr>
                <w:rFonts w:ascii="宋体" w:hAnsi="宋体"/>
                <w:bCs/>
                <w:color w:val="000000"/>
                <w:sz w:val="24"/>
                <w:szCs w:val="24"/>
                <w:u w:val="single"/>
              </w:rPr>
              <w:t>月</w:t>
            </w:r>
            <w:r>
              <w:rPr>
                <w:rFonts w:hint="eastAsia" w:ascii="宋体" w:hAnsi="宋体"/>
                <w:bCs/>
                <w:color w:val="000000"/>
                <w:sz w:val="24"/>
                <w:szCs w:val="24"/>
                <w:u w:val="single"/>
              </w:rPr>
              <w:t>22</w:t>
            </w:r>
            <w:r>
              <w:rPr>
                <w:rFonts w:ascii="宋体" w:hAnsi="宋体"/>
                <w:bCs/>
                <w:color w:val="000000"/>
                <w:sz w:val="24"/>
                <w:szCs w:val="24"/>
                <w:u w:val="single"/>
              </w:rPr>
              <w:t>日09：00（北京时间）</w:t>
            </w:r>
          </w:p>
          <w:p>
            <w:pPr>
              <w:pStyle w:val="58"/>
              <w:rPr>
                <w:rFonts w:hint="eastAsia" w:ascii="宋体" w:hAnsi="宋体"/>
                <w:color w:val="000000"/>
                <w:szCs w:val="24"/>
              </w:rPr>
            </w:pPr>
            <w:r>
              <w:rPr>
                <w:rFonts w:hint="eastAsia"/>
                <w:szCs w:val="24"/>
              </w:rPr>
              <w:t>接收人：</w:t>
            </w:r>
            <w:r>
              <w:rPr>
                <w:rFonts w:hint="eastAsia" w:ascii="宋体" w:hAnsi="宋体"/>
                <w:color w:val="000000"/>
                <w:szCs w:val="24"/>
              </w:rPr>
              <w:t>丽水学院保卫处</w:t>
            </w:r>
          </w:p>
          <w:p>
            <w:pPr>
              <w:snapToGrid w:val="0"/>
              <w:spacing w:line="360" w:lineRule="auto"/>
              <w:rPr>
                <w:rFonts w:asciiTheme="majorEastAsia" w:hAnsiTheme="majorEastAsia" w:eastAsiaTheme="majorEastAsia"/>
                <w:sz w:val="24"/>
                <w:szCs w:val="24"/>
              </w:rPr>
            </w:pPr>
            <w:r>
              <w:rPr>
                <w:rFonts w:hint="eastAsia" w:ascii="宋体" w:hAnsi="宋体"/>
                <w:color w:val="000000"/>
                <w:sz w:val="24"/>
                <w:szCs w:val="24"/>
              </w:rPr>
              <w:t>提交磋商文件地点：</w:t>
            </w:r>
            <w:r>
              <w:rPr>
                <w:rFonts w:hint="eastAsia" w:ascii="宋体" w:hAnsi="宋体" w:cs="宋体"/>
                <w:color w:val="000000"/>
                <w:sz w:val="24"/>
                <w:szCs w:val="24"/>
              </w:rPr>
              <w:t>丽水学院保卫处会议室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811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宋体"/>
                <w:bCs/>
                <w:sz w:val="24"/>
                <w:szCs w:val="24"/>
              </w:rPr>
            </w:pPr>
            <w:r>
              <w:rPr>
                <w:rFonts w:hint="eastAsia" w:ascii="宋体" w:hAnsi="宋体"/>
                <w:bCs/>
                <w:snapToGrid w:val="0"/>
                <w:sz w:val="24"/>
                <w:szCs w:val="24"/>
              </w:rPr>
              <w:t>磋商</w:t>
            </w:r>
            <w:r>
              <w:rPr>
                <w:rFonts w:hint="eastAsia" w:ascii="宋体" w:hAnsi="宋体" w:cs="宋体"/>
                <w:bCs/>
                <w:sz w:val="24"/>
                <w:szCs w:val="24"/>
              </w:rPr>
              <w:t>时间及地点：</w:t>
            </w:r>
          </w:p>
          <w:p>
            <w:pPr>
              <w:spacing w:line="300" w:lineRule="exact"/>
              <w:rPr>
                <w:rFonts w:hint="eastAsia" w:ascii="宋体" w:hAnsi="宋体" w:cs="宋体"/>
                <w:bCs/>
                <w:color w:val="000000"/>
                <w:sz w:val="24"/>
                <w:szCs w:val="24"/>
              </w:rPr>
            </w:pPr>
            <w:r>
              <w:rPr>
                <w:rFonts w:hint="eastAsia" w:ascii="宋体" w:hAnsi="宋体" w:cs="宋体"/>
                <w:bCs/>
                <w:color w:val="000000"/>
                <w:sz w:val="24"/>
                <w:szCs w:val="24"/>
              </w:rPr>
              <w:t>开标时间：</w:t>
            </w:r>
            <w:r>
              <w:rPr>
                <w:rFonts w:hint="eastAsia" w:ascii="宋体" w:hAnsi="宋体" w:cs="宋体"/>
                <w:color w:val="000000"/>
                <w:sz w:val="24"/>
                <w:szCs w:val="24"/>
                <w:u w:val="single"/>
              </w:rPr>
              <w:t>2021年10月22日09：00</w:t>
            </w:r>
            <w:r>
              <w:rPr>
                <w:rFonts w:hint="eastAsia" w:ascii="宋体" w:hAnsi="宋体" w:cs="宋体"/>
                <w:bCs/>
                <w:color w:val="000000"/>
                <w:sz w:val="24"/>
                <w:szCs w:val="24"/>
                <w:u w:val="single"/>
              </w:rPr>
              <w:t>（北京时间）</w:t>
            </w:r>
          </w:p>
          <w:p>
            <w:pPr>
              <w:snapToGrid w:val="0"/>
              <w:spacing w:line="360" w:lineRule="auto"/>
              <w:rPr>
                <w:rFonts w:hint="eastAsia" w:asciiTheme="majorEastAsia" w:hAnsiTheme="majorEastAsia" w:eastAsiaTheme="majorEastAsia"/>
                <w:bCs/>
                <w:sz w:val="24"/>
                <w:szCs w:val="24"/>
              </w:rPr>
            </w:pPr>
            <w:r>
              <w:rPr>
                <w:rFonts w:hint="eastAsia" w:ascii="宋体" w:hAnsi="宋体" w:cs="宋体"/>
                <w:bCs/>
                <w:color w:val="000000"/>
                <w:sz w:val="24"/>
                <w:szCs w:val="24"/>
              </w:rPr>
              <w:t>开标地点：丽水学院保卫处会议室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7</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ajorEastAsia" w:hAnsiTheme="majorEastAsia" w:eastAsiaTheme="majorEastAsia"/>
                <w:bCs/>
                <w:sz w:val="24"/>
                <w:szCs w:val="24"/>
              </w:rPr>
            </w:pPr>
            <w:r>
              <w:rPr>
                <w:rFonts w:hint="eastAsia" w:asciiTheme="majorEastAsia" w:hAnsiTheme="majorEastAsia" w:eastAsiaTheme="majorEastAsia"/>
                <w:bCs/>
                <w:sz w:val="24"/>
                <w:szCs w:val="24"/>
              </w:rPr>
              <w:t>答疑与澄清：详见</w:t>
            </w:r>
            <w:r>
              <w:rPr>
                <w:rFonts w:hint="eastAsia" w:asciiTheme="majorEastAsia" w:hAnsiTheme="majorEastAsia" w:eastAsiaTheme="majorEastAsia"/>
                <w:sz w:val="24"/>
                <w:szCs w:val="24"/>
              </w:rPr>
              <w:t>《竞争性磋商公告》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ajorEastAsia" w:hAnsiTheme="majorEastAsia" w:eastAsiaTheme="majorEastAsia"/>
                <w:bCs/>
                <w:sz w:val="24"/>
                <w:szCs w:val="24"/>
              </w:rPr>
            </w:pPr>
            <w:r>
              <w:rPr>
                <w:rFonts w:hint="eastAsia" w:asciiTheme="majorEastAsia" w:hAnsiTheme="majorEastAsia" w:eastAsiaTheme="majorEastAsia"/>
                <w:bCs/>
                <w:sz w:val="24"/>
                <w:szCs w:val="24"/>
              </w:rPr>
              <w:t>是否接受转包与分包：否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9</w:t>
            </w:r>
          </w:p>
        </w:tc>
        <w:tc>
          <w:tcPr>
            <w:tcW w:w="81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ajorEastAsia" w:hAnsiTheme="majorEastAsia" w:eastAsiaTheme="majorEastAsia"/>
                <w:bCs/>
                <w:sz w:val="24"/>
                <w:szCs w:val="24"/>
              </w:rPr>
            </w:pPr>
            <w:r>
              <w:rPr>
                <w:rFonts w:hint="eastAsia" w:asciiTheme="majorEastAsia" w:hAnsiTheme="majorEastAsia" w:eastAsiaTheme="majorEastAsia"/>
                <w:bCs/>
                <w:sz w:val="24"/>
                <w:szCs w:val="24"/>
              </w:rPr>
              <w:t>是否接受联合体投标：否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w:t>
            </w:r>
          </w:p>
        </w:tc>
        <w:tc>
          <w:tcPr>
            <w:tcW w:w="81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Theme="majorEastAsia" w:hAnsiTheme="majorEastAsia" w:eastAsiaTheme="majorEastAsia"/>
                <w:bCs/>
                <w:sz w:val="24"/>
                <w:szCs w:val="24"/>
              </w:rPr>
            </w:pPr>
            <w:r>
              <w:rPr>
                <w:rFonts w:hint="eastAsia" w:asciiTheme="majorEastAsia" w:hAnsiTheme="majorEastAsia" w:eastAsiaTheme="majorEastAsia"/>
                <w:sz w:val="24"/>
                <w:szCs w:val="24"/>
              </w:rPr>
              <w:t>响应文件组成：资信商务及技术文件、报价文件正本各</w:t>
            </w:r>
            <w:r>
              <w:rPr>
                <w:rFonts w:hint="eastAsia" w:cs="Arial" w:asciiTheme="majorEastAsia" w:hAnsiTheme="majorEastAsia" w:eastAsiaTheme="majorEastAsia"/>
                <w:sz w:val="24"/>
                <w:szCs w:val="24"/>
              </w:rPr>
              <w:t>1</w:t>
            </w:r>
            <w:r>
              <w:rPr>
                <w:rFonts w:hint="eastAsia" w:asciiTheme="majorEastAsia" w:hAnsiTheme="majorEastAsia" w:eastAsiaTheme="majorEastAsia"/>
                <w:sz w:val="24"/>
                <w:szCs w:val="24"/>
              </w:rPr>
              <w:t>份，副本各10份。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11</w:t>
            </w:r>
          </w:p>
        </w:tc>
        <w:tc>
          <w:tcPr>
            <w:tcW w:w="81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s="宋体"/>
                <w:bCs/>
                <w:sz w:val="24"/>
                <w:szCs w:val="24"/>
              </w:rPr>
            </w:pPr>
            <w:r>
              <w:rPr>
                <w:rFonts w:hint="eastAsia" w:ascii="宋体" w:hAnsi="宋体" w:cs="宋体"/>
                <w:sz w:val="24"/>
                <w:szCs w:val="24"/>
              </w:rPr>
              <w:t>招标公告发布媒体：</w:t>
            </w:r>
            <w:r>
              <w:rPr>
                <w:rFonts w:hint="eastAsia" w:asciiTheme="majorEastAsia" w:hAnsiTheme="majorEastAsia" w:eastAsiaTheme="majorEastAsia"/>
                <w:sz w:val="24"/>
                <w:szCs w:val="24"/>
              </w:rPr>
              <w:t>丽水学院保卫处网站(http://bwc.</w:t>
            </w:r>
            <w:r>
              <w:rPr>
                <w:rFonts w:asciiTheme="majorEastAsia" w:hAnsiTheme="majorEastAsia" w:eastAsiaTheme="majorEastAsia"/>
                <w:sz w:val="24"/>
                <w:szCs w:val="24"/>
              </w:rPr>
              <w:t>lsu</w:t>
            </w:r>
            <w:r>
              <w:rPr>
                <w:rFonts w:hint="eastAsia" w:asciiTheme="majorEastAsia" w:hAnsiTheme="majorEastAsia" w:eastAsiaTheme="majorEastAsia"/>
                <w:sz w:val="24"/>
                <w:szCs w:val="24"/>
              </w:rPr>
              <w:t>.edu.cn/)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12</w:t>
            </w:r>
          </w:p>
        </w:tc>
        <w:tc>
          <w:tcPr>
            <w:tcW w:w="81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s="宋体"/>
                <w:bCs/>
                <w:sz w:val="24"/>
                <w:szCs w:val="24"/>
              </w:rPr>
            </w:pPr>
            <w:r>
              <w:rPr>
                <w:rFonts w:hint="eastAsia" w:ascii="宋体" w:hAnsi="宋体" w:cs="宋体"/>
                <w:bCs/>
                <w:sz w:val="24"/>
                <w:szCs w:val="24"/>
              </w:rPr>
              <w:t>中标结果公告及中标通知书：</w:t>
            </w:r>
          </w:p>
          <w:p>
            <w:pPr>
              <w:autoSpaceDE w:val="0"/>
              <w:autoSpaceDN w:val="0"/>
              <w:snapToGrid w:val="0"/>
              <w:spacing w:line="360" w:lineRule="auto"/>
              <w:textAlignment w:val="bottom"/>
              <w:rPr>
                <w:rFonts w:asciiTheme="majorEastAsia" w:hAnsiTheme="majorEastAsia" w:eastAsiaTheme="majorEastAsia"/>
                <w:sz w:val="24"/>
                <w:szCs w:val="24"/>
              </w:rPr>
            </w:pPr>
            <w:r>
              <w:rPr>
                <w:rFonts w:hint="eastAsia" w:asciiTheme="majorEastAsia" w:hAnsiTheme="majorEastAsia" w:eastAsiaTheme="majorEastAsia"/>
                <w:sz w:val="24"/>
                <w:szCs w:val="24"/>
              </w:rPr>
              <w:t>磋商结果公示：磋商报告经采购人确认后2个工作日内，成交公告在丽水学院保卫处网站(http://bwc.</w:t>
            </w:r>
            <w:r>
              <w:rPr>
                <w:rFonts w:asciiTheme="majorEastAsia" w:hAnsiTheme="majorEastAsia" w:eastAsiaTheme="majorEastAsia"/>
                <w:sz w:val="24"/>
                <w:szCs w:val="24"/>
              </w:rPr>
              <w:t>lsu</w:t>
            </w:r>
            <w:r>
              <w:rPr>
                <w:rFonts w:hint="eastAsia" w:asciiTheme="majorEastAsia" w:hAnsiTheme="majorEastAsia" w:eastAsiaTheme="majorEastAsia"/>
                <w:sz w:val="24"/>
                <w:szCs w:val="24"/>
              </w:rPr>
              <w:t>.edu.cn/)上发布，并同时发出成交通知书。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13</w:t>
            </w:r>
          </w:p>
        </w:tc>
        <w:tc>
          <w:tcPr>
            <w:tcW w:w="81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Theme="majorEastAsia" w:hAnsiTheme="majorEastAsia" w:eastAsiaTheme="majorEastAsia"/>
                <w:sz w:val="24"/>
                <w:szCs w:val="24"/>
              </w:rPr>
            </w:pPr>
            <w:r>
              <w:rPr>
                <w:rFonts w:hint="eastAsia" w:asciiTheme="majorEastAsia" w:hAnsiTheme="majorEastAsia" w:eastAsiaTheme="majorEastAsia"/>
                <w:sz w:val="24"/>
                <w:szCs w:val="24"/>
              </w:rPr>
              <w:t>签订合同时间：中标通知书发出后30日内。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14</w:t>
            </w:r>
          </w:p>
        </w:tc>
        <w:tc>
          <w:tcPr>
            <w:tcW w:w="81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Theme="majorEastAsia" w:hAnsiTheme="majorEastAsia" w:eastAsiaTheme="majorEastAsia"/>
                <w:sz w:val="24"/>
                <w:szCs w:val="24"/>
              </w:rPr>
            </w:pPr>
            <w:r>
              <w:rPr>
                <w:rFonts w:hint="eastAsia" w:asciiTheme="majorEastAsia" w:hAnsiTheme="majorEastAsia" w:eastAsiaTheme="majorEastAsia"/>
                <w:sz w:val="24"/>
                <w:szCs w:val="24"/>
              </w:rPr>
              <w:t>履约保证金收取及退还：详见《竞争性磋商公告》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15</w:t>
            </w:r>
          </w:p>
        </w:tc>
        <w:tc>
          <w:tcPr>
            <w:tcW w:w="81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ajorEastAsia" w:hAnsiTheme="majorEastAsia" w:eastAsiaTheme="majorEastAsia"/>
                <w:sz w:val="24"/>
                <w:szCs w:val="24"/>
              </w:rPr>
            </w:pPr>
            <w:r>
              <w:rPr>
                <w:rFonts w:hint="eastAsia" w:ascii="宋体" w:hAnsi="宋体" w:cs="宋体"/>
                <w:bCs/>
                <w:sz w:val="24"/>
                <w:szCs w:val="24"/>
              </w:rPr>
              <w:t>评审办法和细则：采用综合评分法，详见磋商文件“第五章 评标办法”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16</w:t>
            </w:r>
          </w:p>
        </w:tc>
        <w:tc>
          <w:tcPr>
            <w:tcW w:w="81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本项目管理方为丽水学院保卫处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17</w:t>
            </w:r>
          </w:p>
        </w:tc>
        <w:tc>
          <w:tcPr>
            <w:tcW w:w="81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解释：本磋商文件的解释权属于丽水学院保卫处</w:t>
            </w:r>
          </w:p>
        </w:tc>
      </w:tr>
    </w:tbl>
    <w:p>
      <w:pPr>
        <w:snapToGrid w:val="0"/>
        <w:spacing w:line="360" w:lineRule="auto"/>
        <w:jc w:val="center"/>
        <w:rPr>
          <w:rFonts w:hint="eastAsia" w:asciiTheme="majorEastAsia" w:hAnsiTheme="majorEastAsia" w:eastAsiaTheme="majorEastAsia"/>
          <w:szCs w:val="21"/>
        </w:rPr>
      </w:pPr>
    </w:p>
    <w:p>
      <w:pPr>
        <w:spacing w:line="360" w:lineRule="auto"/>
        <w:rPr>
          <w:rFonts w:ascii="宋体" w:hAnsi="宋体"/>
          <w:b/>
          <w:sz w:val="36"/>
          <w:szCs w:val="36"/>
        </w:rPr>
      </w:pPr>
    </w:p>
    <w:p>
      <w:pPr>
        <w:spacing w:line="360" w:lineRule="auto"/>
        <w:jc w:val="left"/>
        <w:outlineLvl w:val="0"/>
        <w:rPr>
          <w:rFonts w:ascii="宋体" w:hAnsi="宋体"/>
          <w:b/>
          <w:sz w:val="24"/>
          <w:szCs w:val="24"/>
        </w:rPr>
      </w:pPr>
      <w:r>
        <w:rPr>
          <w:rFonts w:hint="eastAsia" w:ascii="宋体" w:hAnsi="宋体"/>
          <w:b/>
          <w:sz w:val="24"/>
          <w:szCs w:val="24"/>
        </w:rPr>
        <w:t>一、总则</w:t>
      </w:r>
    </w:p>
    <w:p>
      <w:pPr>
        <w:spacing w:line="360" w:lineRule="auto"/>
        <w:ind w:firstLine="463" w:firstLineChars="192"/>
        <w:jc w:val="left"/>
        <w:outlineLvl w:val="0"/>
        <w:rPr>
          <w:rFonts w:ascii="宋体" w:hAnsi="宋体"/>
          <w:b/>
          <w:sz w:val="24"/>
          <w:szCs w:val="24"/>
        </w:rPr>
      </w:pPr>
      <w:r>
        <w:rPr>
          <w:rFonts w:hint="eastAsia" w:ascii="宋体" w:hAnsi="宋体"/>
          <w:b/>
          <w:sz w:val="24"/>
          <w:szCs w:val="24"/>
        </w:rPr>
        <w:t>(一 )适用范围</w:t>
      </w:r>
    </w:p>
    <w:p>
      <w:pPr>
        <w:spacing w:line="360" w:lineRule="auto"/>
        <w:ind w:firstLine="840" w:firstLineChars="350"/>
        <w:jc w:val="left"/>
        <w:rPr>
          <w:rFonts w:ascii="宋体" w:hAnsi="宋体"/>
          <w:sz w:val="24"/>
          <w:szCs w:val="24"/>
        </w:rPr>
      </w:pPr>
      <w:r>
        <w:rPr>
          <w:rFonts w:hint="eastAsia" w:ascii="宋体" w:hAnsi="宋体"/>
          <w:sz w:val="24"/>
          <w:szCs w:val="24"/>
        </w:rPr>
        <w:t>仅适用于本次竞争性磋商采购所叙述的工程、设备和服务。</w:t>
      </w:r>
    </w:p>
    <w:p>
      <w:pPr>
        <w:spacing w:line="360" w:lineRule="auto"/>
        <w:ind w:firstLine="361" w:firstLineChars="150"/>
        <w:jc w:val="left"/>
        <w:outlineLvl w:val="0"/>
        <w:rPr>
          <w:rFonts w:ascii="宋体" w:hAnsi="宋体"/>
          <w:b/>
          <w:sz w:val="24"/>
          <w:szCs w:val="24"/>
        </w:rPr>
      </w:pPr>
      <w:r>
        <w:rPr>
          <w:rFonts w:hint="eastAsia" w:ascii="宋体" w:hAnsi="宋体"/>
          <w:b/>
          <w:sz w:val="24"/>
          <w:szCs w:val="24"/>
        </w:rPr>
        <w:t>（二）定义</w:t>
      </w:r>
    </w:p>
    <w:p>
      <w:pPr>
        <w:spacing w:line="360" w:lineRule="auto"/>
        <w:ind w:firstLine="480" w:firstLineChars="200"/>
        <w:jc w:val="left"/>
        <w:rPr>
          <w:rFonts w:ascii="宋体" w:hAnsi="宋体"/>
          <w:sz w:val="24"/>
          <w:szCs w:val="24"/>
        </w:rPr>
      </w:pPr>
      <w:r>
        <w:rPr>
          <w:rFonts w:hint="eastAsia" w:ascii="宋体" w:hAnsi="宋体"/>
          <w:sz w:val="24"/>
          <w:szCs w:val="24"/>
        </w:rPr>
        <w:t>1.“需方”、“招标方”系指丽水学院保卫处。</w:t>
      </w:r>
    </w:p>
    <w:p>
      <w:pPr>
        <w:spacing w:line="360" w:lineRule="auto"/>
        <w:ind w:firstLine="480" w:firstLineChars="200"/>
        <w:jc w:val="left"/>
        <w:rPr>
          <w:rFonts w:ascii="宋体" w:hAnsi="宋体"/>
          <w:sz w:val="24"/>
          <w:szCs w:val="24"/>
        </w:rPr>
      </w:pPr>
      <w:r>
        <w:rPr>
          <w:rFonts w:hint="eastAsia" w:ascii="宋体" w:hAnsi="宋体"/>
          <w:sz w:val="24"/>
          <w:szCs w:val="24"/>
        </w:rPr>
        <w:t>2.“响应方”系指向需方提交磋商响应文件的供应商。</w:t>
      </w:r>
    </w:p>
    <w:p>
      <w:pPr>
        <w:spacing w:line="360" w:lineRule="auto"/>
        <w:ind w:firstLine="480" w:firstLineChars="200"/>
        <w:jc w:val="left"/>
        <w:rPr>
          <w:rFonts w:ascii="宋体" w:hAnsi="宋体"/>
          <w:sz w:val="24"/>
          <w:szCs w:val="24"/>
        </w:rPr>
      </w:pPr>
      <w:r>
        <w:rPr>
          <w:rFonts w:hint="eastAsia" w:ascii="宋体" w:hAnsi="宋体"/>
          <w:sz w:val="24"/>
          <w:szCs w:val="24"/>
        </w:rPr>
        <w:t>3.“项目”系指按竞争性磋商文件要求供应商向需方提供的产品和服务。</w:t>
      </w:r>
    </w:p>
    <w:p>
      <w:pPr>
        <w:spacing w:line="360" w:lineRule="auto"/>
        <w:ind w:firstLine="480" w:firstLineChars="200"/>
        <w:jc w:val="left"/>
        <w:rPr>
          <w:rFonts w:ascii="宋体" w:hAnsi="宋体"/>
          <w:sz w:val="24"/>
          <w:szCs w:val="24"/>
        </w:rPr>
      </w:pPr>
      <w:r>
        <w:rPr>
          <w:rFonts w:hint="eastAsia" w:ascii="宋体" w:hAnsi="宋体"/>
          <w:sz w:val="24"/>
          <w:szCs w:val="24"/>
        </w:rPr>
        <w:t>4.本磋商文件中带“▲”的条款内容，为本次磋商的主要条款和实质性要求，供应商必须全部响应，否则作无效响应文件处理。</w:t>
      </w:r>
    </w:p>
    <w:p>
      <w:pPr>
        <w:spacing w:line="360" w:lineRule="auto"/>
        <w:ind w:firstLine="482" w:firstLineChars="200"/>
        <w:jc w:val="left"/>
        <w:rPr>
          <w:rFonts w:ascii="宋体" w:hAnsi="宋体"/>
          <w:b/>
          <w:sz w:val="24"/>
          <w:szCs w:val="24"/>
        </w:rPr>
      </w:pPr>
      <w:r>
        <w:rPr>
          <w:rFonts w:hint="eastAsia" w:ascii="宋体" w:hAnsi="宋体"/>
          <w:b/>
          <w:sz w:val="24"/>
          <w:szCs w:val="24"/>
        </w:rPr>
        <w:t>（三）磋商费用</w:t>
      </w:r>
    </w:p>
    <w:p>
      <w:pPr>
        <w:spacing w:line="360" w:lineRule="auto"/>
        <w:ind w:firstLine="480" w:firstLineChars="200"/>
        <w:jc w:val="left"/>
        <w:rPr>
          <w:rFonts w:ascii="宋体" w:hAnsi="宋体"/>
          <w:sz w:val="24"/>
          <w:szCs w:val="24"/>
        </w:rPr>
      </w:pPr>
      <w:r>
        <w:rPr>
          <w:rFonts w:hint="eastAsia" w:ascii="宋体" w:hAnsi="宋体"/>
          <w:sz w:val="24"/>
          <w:szCs w:val="24"/>
        </w:rPr>
        <w:t>不论磋商结果如何，响应方均应自行承担所有与磋商有关的全部费用（磋商文件有其他相反规定除外）。</w:t>
      </w:r>
    </w:p>
    <w:p>
      <w:pPr>
        <w:spacing w:line="360" w:lineRule="auto"/>
        <w:ind w:firstLine="482" w:firstLineChars="200"/>
        <w:jc w:val="left"/>
        <w:rPr>
          <w:rFonts w:ascii="宋体" w:hAnsi="宋体"/>
          <w:b/>
          <w:sz w:val="24"/>
          <w:szCs w:val="24"/>
        </w:rPr>
      </w:pPr>
      <w:r>
        <w:rPr>
          <w:rFonts w:hint="eastAsia" w:ascii="宋体" w:hAnsi="宋体"/>
          <w:b/>
          <w:sz w:val="24"/>
          <w:szCs w:val="24"/>
        </w:rPr>
        <w:t>（四）特别说明</w:t>
      </w:r>
    </w:p>
    <w:p>
      <w:pPr>
        <w:spacing w:line="360" w:lineRule="auto"/>
        <w:ind w:firstLine="480" w:firstLineChars="200"/>
        <w:jc w:val="left"/>
        <w:rPr>
          <w:rFonts w:ascii="宋体" w:hAnsi="宋体"/>
          <w:sz w:val="24"/>
          <w:szCs w:val="24"/>
        </w:rPr>
      </w:pPr>
      <w:r>
        <w:rPr>
          <w:rFonts w:hint="eastAsia" w:ascii="宋体" w:hAnsi="宋体"/>
          <w:sz w:val="24"/>
          <w:szCs w:val="24"/>
        </w:rPr>
        <w:t>1、响应方参与本次磋商所使用的资格、信誉、荣誉、业绩与企业认证必须为本法人所拥有。响应方参与本次磋商所使用的采购项目实施人员必须为本法人员工（或必须为本法人或控股公司正式员工）。</w:t>
      </w:r>
    </w:p>
    <w:p>
      <w:pPr>
        <w:spacing w:line="360" w:lineRule="auto"/>
        <w:ind w:firstLine="480" w:firstLineChars="200"/>
        <w:jc w:val="left"/>
        <w:rPr>
          <w:rFonts w:ascii="宋体" w:hAnsi="宋体"/>
          <w:sz w:val="24"/>
          <w:szCs w:val="24"/>
        </w:rPr>
      </w:pPr>
      <w:r>
        <w:rPr>
          <w:rFonts w:hint="eastAsia" w:ascii="宋体" w:hAnsi="宋体"/>
          <w:sz w:val="24"/>
          <w:szCs w:val="24"/>
        </w:rPr>
        <w:t>2、响应方应仔细阅读磋商文件的所有内容，按照磋商文件的要求提交响应文件，并对所提供的全部资料的真实性承担法律责任。</w:t>
      </w:r>
    </w:p>
    <w:p>
      <w:pPr>
        <w:spacing w:line="360" w:lineRule="auto"/>
        <w:ind w:firstLine="482" w:firstLineChars="200"/>
        <w:jc w:val="left"/>
        <w:rPr>
          <w:rFonts w:ascii="宋体" w:hAnsi="宋体"/>
          <w:b/>
          <w:sz w:val="24"/>
          <w:szCs w:val="24"/>
        </w:rPr>
      </w:pPr>
      <w:r>
        <w:rPr>
          <w:rFonts w:hint="eastAsia" w:ascii="宋体" w:hAnsi="宋体"/>
          <w:b/>
          <w:sz w:val="24"/>
          <w:szCs w:val="24"/>
        </w:rPr>
        <w:t>（五）质疑</w:t>
      </w:r>
    </w:p>
    <w:p>
      <w:pPr>
        <w:spacing w:line="360" w:lineRule="auto"/>
        <w:ind w:firstLine="480" w:firstLineChars="200"/>
        <w:jc w:val="left"/>
        <w:rPr>
          <w:rFonts w:ascii="宋体" w:hAnsi="宋体"/>
          <w:sz w:val="24"/>
          <w:szCs w:val="24"/>
        </w:rPr>
      </w:pPr>
      <w:r>
        <w:rPr>
          <w:rFonts w:hint="eastAsia" w:ascii="宋体" w:hAnsi="宋体"/>
          <w:sz w:val="24"/>
          <w:szCs w:val="24"/>
        </w:rPr>
        <w:t>1、供应商一旦下载了本竞争性磋商文件并决定参加磋商，即被认为接受了本竞争性磋商文件的规定和约束，并且视为自竞争性磋商公告期限届满之日起已经知道或应当知道自身权益是否受到了损害。</w:t>
      </w:r>
    </w:p>
    <w:p>
      <w:pPr>
        <w:spacing w:line="360" w:lineRule="auto"/>
        <w:ind w:firstLine="480" w:firstLineChars="200"/>
        <w:jc w:val="left"/>
        <w:rPr>
          <w:rFonts w:ascii="宋体" w:hAnsi="宋体"/>
          <w:sz w:val="24"/>
          <w:szCs w:val="24"/>
        </w:rPr>
      </w:pPr>
      <w:r>
        <w:rPr>
          <w:rFonts w:hint="eastAsia" w:ascii="宋体" w:hAnsi="宋体"/>
          <w:sz w:val="24"/>
          <w:szCs w:val="24"/>
        </w:rPr>
        <w:t>2、响应方认为磋商过程或中标结果使自己的合法权益受到损害的，可以在知道或者应知其权益受到损害之日起七个工作日内，以书面形式向招标方提出质疑。</w:t>
      </w:r>
    </w:p>
    <w:p>
      <w:pPr>
        <w:spacing w:line="360" w:lineRule="auto"/>
        <w:ind w:firstLine="480" w:firstLineChars="200"/>
        <w:jc w:val="left"/>
        <w:rPr>
          <w:rFonts w:ascii="宋体" w:hAnsi="宋体"/>
          <w:sz w:val="24"/>
          <w:szCs w:val="24"/>
        </w:rPr>
      </w:pPr>
      <w:r>
        <w:rPr>
          <w:rFonts w:hint="eastAsia" w:ascii="宋体" w:hAnsi="宋体"/>
          <w:sz w:val="24"/>
          <w:szCs w:val="24"/>
        </w:rPr>
        <w:t>3、质疑应当采用加盖响应方公章的书面形式，质疑书应明确阐述磋商过程或中标结果中使自己合法权益受到损害的实质性内容，提供相关事实、依据和证据及其来源或线索，便于有关单位调查、答复和处理，否则，招标方将不予受理。</w:t>
      </w:r>
    </w:p>
    <w:p>
      <w:pPr>
        <w:spacing w:line="360" w:lineRule="auto"/>
        <w:ind w:firstLine="482" w:firstLineChars="200"/>
        <w:jc w:val="left"/>
        <w:rPr>
          <w:rFonts w:ascii="宋体" w:hAnsi="宋体"/>
          <w:b/>
          <w:sz w:val="24"/>
          <w:szCs w:val="24"/>
        </w:rPr>
      </w:pPr>
      <w:r>
        <w:rPr>
          <w:rFonts w:hint="eastAsia" w:ascii="宋体" w:hAnsi="宋体"/>
          <w:b/>
          <w:sz w:val="24"/>
          <w:szCs w:val="24"/>
        </w:rPr>
        <w:t>（六）质疑人有下列情形之一的，保卫处应驳回质疑：</w:t>
      </w:r>
    </w:p>
    <w:p>
      <w:pPr>
        <w:spacing w:line="360" w:lineRule="auto"/>
        <w:ind w:firstLine="480" w:firstLineChars="200"/>
        <w:jc w:val="left"/>
        <w:rPr>
          <w:rFonts w:ascii="宋体" w:hAnsi="宋体"/>
          <w:sz w:val="24"/>
          <w:szCs w:val="24"/>
        </w:rPr>
      </w:pPr>
      <w:r>
        <w:rPr>
          <w:rFonts w:hint="eastAsia" w:ascii="宋体" w:hAnsi="宋体"/>
          <w:sz w:val="24"/>
          <w:szCs w:val="24"/>
        </w:rPr>
        <w:t>1、质疑缺乏事实和法律依据的；</w:t>
      </w:r>
    </w:p>
    <w:p>
      <w:pPr>
        <w:spacing w:line="360" w:lineRule="auto"/>
        <w:ind w:firstLine="480" w:firstLineChars="200"/>
        <w:jc w:val="left"/>
        <w:rPr>
          <w:rFonts w:ascii="宋体" w:hAnsi="宋体"/>
          <w:sz w:val="24"/>
          <w:szCs w:val="24"/>
        </w:rPr>
      </w:pPr>
      <w:r>
        <w:rPr>
          <w:rFonts w:hint="eastAsia" w:ascii="宋体" w:hAnsi="宋体"/>
          <w:sz w:val="24"/>
          <w:szCs w:val="24"/>
        </w:rPr>
        <w:t>2、质疑人捏造事实、提供虚假材料，或在一定期限内多次质疑而无实据的；</w:t>
      </w:r>
    </w:p>
    <w:p>
      <w:pPr>
        <w:spacing w:line="360" w:lineRule="auto"/>
        <w:ind w:firstLine="480" w:firstLineChars="200"/>
        <w:jc w:val="left"/>
        <w:rPr>
          <w:rFonts w:ascii="宋体" w:hAnsi="宋体"/>
          <w:sz w:val="24"/>
          <w:szCs w:val="24"/>
        </w:rPr>
      </w:pPr>
      <w:r>
        <w:rPr>
          <w:rFonts w:hint="eastAsia" w:ascii="宋体" w:hAnsi="宋体"/>
          <w:sz w:val="24"/>
          <w:szCs w:val="24"/>
        </w:rPr>
        <w:t>3、质疑已经处理并答复后，质疑人就同一事项又提起质疑且未提供新的有效证据的；</w:t>
      </w:r>
    </w:p>
    <w:p>
      <w:pPr>
        <w:spacing w:line="360" w:lineRule="auto"/>
        <w:ind w:firstLine="480" w:firstLineChars="200"/>
        <w:jc w:val="left"/>
        <w:rPr>
          <w:rFonts w:ascii="宋体" w:hAnsi="宋体"/>
          <w:sz w:val="24"/>
          <w:szCs w:val="24"/>
        </w:rPr>
      </w:pPr>
      <w:r>
        <w:rPr>
          <w:rFonts w:hint="eastAsia" w:ascii="宋体" w:hAnsi="宋体"/>
          <w:sz w:val="24"/>
          <w:szCs w:val="24"/>
        </w:rPr>
        <w:t>4、其他根据相关法律、法规应当予以驳回的情形。</w:t>
      </w:r>
    </w:p>
    <w:p>
      <w:pPr>
        <w:spacing w:line="360" w:lineRule="auto"/>
        <w:ind w:firstLine="482" w:firstLineChars="200"/>
        <w:jc w:val="left"/>
        <w:rPr>
          <w:rFonts w:ascii="宋体" w:hAnsi="宋体"/>
          <w:b/>
          <w:sz w:val="24"/>
          <w:szCs w:val="24"/>
        </w:rPr>
      </w:pPr>
      <w:r>
        <w:rPr>
          <w:rFonts w:hint="eastAsia" w:ascii="宋体" w:hAnsi="宋体"/>
          <w:b/>
          <w:sz w:val="24"/>
          <w:szCs w:val="24"/>
        </w:rPr>
        <w:t>（七）磋商文件的澄清与修改</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1、任何要求对竞争性磋商文件进行澄清的供应商，均应在竞争性磋商公告规定的时间、通讯地址，以书面形式通知保卫处。</w:t>
      </w:r>
    </w:p>
    <w:p>
      <w:pPr>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招标方可以对已发出的磋商文件进行必要的澄清或者修改，澄清或者修改的内容作为磋商文件的组成部分。澄清或者修改的内容可能影响响应文件编制的，招标方将在提交首次响应文件截止时间至少3日前，在丽水学院保卫处网站上发布书面更正公告形式通知所有获取磋商文件的供应商。不足3日的，招标方应当顺延提交首次响应文件截止时间。</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sz w:val="24"/>
          <w:szCs w:val="24"/>
        </w:rPr>
        <w:t>2、</w:t>
      </w:r>
      <w:r>
        <w:rPr>
          <w:rFonts w:hint="eastAsia" w:ascii="宋体" w:hAnsi="宋体"/>
          <w:color w:val="000000" w:themeColor="text1"/>
          <w:sz w:val="24"/>
          <w:szCs w:val="24"/>
          <w14:textFill>
            <w14:solidFill>
              <w14:schemeClr w14:val="tx1"/>
            </w14:solidFill>
          </w14:textFill>
        </w:rPr>
        <w:t>招标方可以视采购项目的具体情况，组织供应商进行现场考察或召开磋商前答疑会，但不单独或分别组织只有一个供应商参加的现场考察和答疑会。</w:t>
      </w:r>
    </w:p>
    <w:p>
      <w:pPr>
        <w:spacing w:line="360" w:lineRule="auto"/>
        <w:rPr>
          <w:rFonts w:ascii="宋体" w:hAnsi="宋体"/>
          <w:b/>
          <w:sz w:val="24"/>
          <w:szCs w:val="24"/>
        </w:rPr>
      </w:pPr>
      <w:r>
        <w:rPr>
          <w:rFonts w:hint="eastAsia" w:ascii="宋体" w:hAnsi="宋体"/>
          <w:b/>
          <w:sz w:val="24"/>
          <w:szCs w:val="24"/>
        </w:rPr>
        <w:t>二、磋商响应文件</w:t>
      </w:r>
    </w:p>
    <w:p>
      <w:pPr>
        <w:spacing w:line="360" w:lineRule="auto"/>
        <w:ind w:firstLine="480" w:firstLineChars="200"/>
        <w:rPr>
          <w:sz w:val="24"/>
          <w:szCs w:val="24"/>
        </w:rPr>
      </w:pPr>
      <w:r>
        <w:rPr>
          <w:rFonts w:hint="eastAsia"/>
          <w:sz w:val="24"/>
          <w:szCs w:val="24"/>
        </w:rPr>
        <w:t>供应商应仔细阅读磋商文件中的内容，按照采购内容和要求，详细编制磋商响应文件，提供相关方案、资料，对磋商文件中的各个项目给予实质性答复，并保证磋商响应文件的正确性和真实性，否则可能导致不利于其磋商响应的有关评定。供应商所提供的产品详细配置清单及技术参数对照表应填写，如不填写，招标方有权视作未完全响应磋商文件要求。磋商响应文件统一采用中文，度量衡单位使用我国法定的计量单位（文件中另有规定的除外）。</w:t>
      </w:r>
    </w:p>
    <w:p>
      <w:pPr>
        <w:snapToGrid w:val="0"/>
        <w:spacing w:line="360" w:lineRule="auto"/>
        <w:ind w:firstLine="472" w:firstLineChars="196"/>
        <w:jc w:val="left"/>
        <w:outlineLvl w:val="0"/>
        <w:rPr>
          <w:rFonts w:ascii="宋体" w:hAnsi="宋体"/>
          <w:b/>
          <w:sz w:val="24"/>
          <w:szCs w:val="24"/>
        </w:rPr>
      </w:pPr>
      <w:r>
        <w:rPr>
          <w:rFonts w:hint="eastAsia" w:ascii="宋体" w:hAnsi="宋体"/>
          <w:b/>
          <w:sz w:val="24"/>
          <w:szCs w:val="24"/>
        </w:rPr>
        <w:t>（一）磋商响应文件的组成</w:t>
      </w:r>
    </w:p>
    <w:p>
      <w:pPr>
        <w:snapToGrid w:val="0"/>
        <w:spacing w:line="360" w:lineRule="auto"/>
        <w:ind w:firstLine="482" w:firstLineChars="200"/>
        <w:jc w:val="left"/>
        <w:rPr>
          <w:rFonts w:ascii="宋体" w:hAnsi="宋体"/>
          <w:b/>
          <w:sz w:val="24"/>
          <w:szCs w:val="24"/>
        </w:rPr>
      </w:pPr>
      <w:r>
        <w:rPr>
          <w:rFonts w:hint="eastAsia" w:ascii="宋体" w:hAnsi="宋体"/>
          <w:b/>
          <w:sz w:val="24"/>
          <w:szCs w:val="24"/>
        </w:rPr>
        <w:t>磋商响应文</w:t>
      </w:r>
      <w:r>
        <w:rPr>
          <w:rFonts w:hint="eastAsia" w:ascii="宋体" w:hAnsi="宋体"/>
          <w:b/>
          <w:color w:val="000000" w:themeColor="text1"/>
          <w:sz w:val="24"/>
          <w:szCs w:val="24"/>
          <w14:textFill>
            <w14:solidFill>
              <w14:schemeClr w14:val="tx1"/>
            </w14:solidFill>
          </w14:textFill>
        </w:rPr>
        <w:t>件由资信商务及技术文件、报价文件两部分组成，两部分须独立装订和密封包装。</w:t>
      </w:r>
    </w:p>
    <w:p>
      <w:pPr>
        <w:snapToGrid w:val="0"/>
        <w:spacing w:line="360" w:lineRule="auto"/>
        <w:ind w:firstLine="480" w:firstLineChars="200"/>
        <w:jc w:val="left"/>
        <w:rPr>
          <w:rFonts w:ascii="宋体" w:hAnsi="宋体"/>
          <w:sz w:val="24"/>
          <w:szCs w:val="24"/>
        </w:rPr>
      </w:pPr>
      <w:r>
        <w:rPr>
          <w:rFonts w:hint="eastAsia" w:ascii="宋体" w:hAnsi="宋体"/>
          <w:sz w:val="24"/>
          <w:szCs w:val="24"/>
        </w:rPr>
        <w:t>未按规定密封或标记的磋商响应文件造成被误投或提前拆封的风险由供应商承担。</w:t>
      </w:r>
    </w:p>
    <w:p>
      <w:pPr>
        <w:snapToGrid w:val="0"/>
        <w:spacing w:line="360" w:lineRule="auto"/>
        <w:ind w:firstLine="482" w:firstLineChars="200"/>
        <w:jc w:val="left"/>
        <w:rPr>
          <w:rFonts w:ascii="宋体" w:hAnsi="宋体"/>
          <w:b/>
          <w:sz w:val="24"/>
          <w:szCs w:val="24"/>
        </w:rPr>
      </w:pPr>
      <w:r>
        <w:rPr>
          <w:rFonts w:hint="eastAsia" w:ascii="宋体" w:hAnsi="宋体"/>
          <w:b/>
          <w:sz w:val="24"/>
          <w:szCs w:val="24"/>
        </w:rPr>
        <w:t>▲资信商务及技术文件中不得出现报价，否则，该磋商响应文件为无效文件。</w:t>
      </w:r>
    </w:p>
    <w:p>
      <w:pPr>
        <w:snapToGrid w:val="0"/>
        <w:spacing w:beforeLines="50" w:line="360" w:lineRule="auto"/>
        <w:ind w:firstLine="472" w:firstLineChars="196"/>
        <w:jc w:val="left"/>
        <w:rPr>
          <w:rFonts w:ascii="宋体" w:hAnsi="宋体"/>
          <w:b/>
          <w:sz w:val="24"/>
          <w:szCs w:val="24"/>
        </w:rPr>
      </w:pPr>
      <w:r>
        <w:rPr>
          <w:rFonts w:ascii="宋体" w:hAnsi="宋体"/>
          <w:b/>
          <w:sz w:val="24"/>
          <w:szCs w:val="24"/>
        </w:rPr>
        <w:t>1</w:t>
      </w:r>
      <w:r>
        <w:rPr>
          <w:rFonts w:hint="eastAsia" w:ascii="宋体" w:hAnsi="宋体"/>
          <w:b/>
          <w:sz w:val="24"/>
          <w:szCs w:val="24"/>
        </w:rPr>
        <w:t>. 资信商务及技术文件</w:t>
      </w:r>
      <w:r>
        <w:rPr>
          <w:rFonts w:ascii="宋体" w:hAnsi="宋体"/>
          <w:b/>
          <w:sz w:val="24"/>
          <w:szCs w:val="24"/>
        </w:rPr>
        <w:t>：</w:t>
      </w:r>
    </w:p>
    <w:p>
      <w:pPr>
        <w:snapToGrid w:val="0"/>
        <w:spacing w:line="360" w:lineRule="auto"/>
        <w:ind w:firstLine="470" w:firstLineChars="196"/>
        <w:jc w:val="left"/>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法定代表人身份证明、</w:t>
      </w:r>
      <w:r>
        <w:rPr>
          <w:rFonts w:ascii="宋体" w:hAnsi="宋体"/>
          <w:sz w:val="24"/>
          <w:szCs w:val="24"/>
        </w:rPr>
        <w:t>法定代表人授权委托书</w:t>
      </w:r>
      <w:r>
        <w:rPr>
          <w:rFonts w:hint="eastAsia" w:ascii="宋体" w:hAnsi="宋体"/>
          <w:sz w:val="24"/>
          <w:szCs w:val="24"/>
        </w:rPr>
        <w:t>、授权代表身份证复印件（原件备查）</w:t>
      </w:r>
      <w:r>
        <w:rPr>
          <w:rFonts w:ascii="宋体" w:hAnsi="宋体"/>
          <w:sz w:val="24"/>
          <w:szCs w:val="24"/>
        </w:rPr>
        <w:t>；</w:t>
      </w:r>
    </w:p>
    <w:p>
      <w:pPr>
        <w:snapToGrid w:val="0"/>
        <w:spacing w:line="360" w:lineRule="auto"/>
        <w:ind w:firstLine="470" w:firstLineChars="196"/>
        <w:jc w:val="left"/>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提供有效的</w:t>
      </w:r>
      <w:r>
        <w:rPr>
          <w:rFonts w:ascii="宋体" w:hAnsi="宋体"/>
          <w:sz w:val="24"/>
          <w:szCs w:val="24"/>
        </w:rPr>
        <w:t>营业执照</w:t>
      </w:r>
      <w:r>
        <w:rPr>
          <w:rFonts w:hint="eastAsia" w:ascii="宋体" w:hAnsi="宋体"/>
          <w:sz w:val="24"/>
          <w:szCs w:val="24"/>
        </w:rPr>
        <w:t>复印件（均需加盖公章）；</w:t>
      </w:r>
    </w:p>
    <w:p>
      <w:pPr>
        <w:snapToGrid w:val="0"/>
        <w:spacing w:line="360" w:lineRule="auto"/>
        <w:ind w:firstLine="470" w:firstLineChars="196"/>
        <w:jc w:val="left"/>
        <w:rPr>
          <w:rFonts w:ascii="宋体" w:hAnsi="宋体"/>
          <w:sz w:val="24"/>
          <w:szCs w:val="24"/>
        </w:rPr>
      </w:pPr>
      <w:r>
        <w:rPr>
          <w:rFonts w:hint="eastAsia" w:ascii="宋体" w:hAnsi="宋体"/>
          <w:sz w:val="24"/>
          <w:szCs w:val="24"/>
        </w:rPr>
        <w:t>（3）提供采购公告中符合响应方特定条件要求的有效的其他资质及需要说明的资料。</w:t>
      </w:r>
    </w:p>
    <w:p>
      <w:pPr>
        <w:snapToGrid w:val="0"/>
        <w:spacing w:line="360" w:lineRule="auto"/>
        <w:ind w:firstLine="470" w:firstLineChars="196"/>
        <w:jc w:val="left"/>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类似案例成功的业绩（同类项目实施情况一览表、合同复印件、用户验收报告、用户评价等）；</w:t>
      </w:r>
    </w:p>
    <w:p>
      <w:pPr>
        <w:snapToGrid w:val="0"/>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供应商一般情况表；</w:t>
      </w:r>
    </w:p>
    <w:p>
      <w:pPr>
        <w:snapToGrid w:val="0"/>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pacing w:val="2"/>
          <w:sz w:val="24"/>
          <w:szCs w:val="24"/>
        </w:rPr>
        <w:t>共享电动车保险合同。（复印件）</w:t>
      </w:r>
    </w:p>
    <w:p>
      <w:pPr>
        <w:snapToGrid w:val="0"/>
        <w:spacing w:line="360" w:lineRule="auto"/>
        <w:ind w:firstLine="480" w:firstLineChars="200"/>
        <w:jc w:val="left"/>
        <w:rPr>
          <w:sz w:val="24"/>
          <w:szCs w:val="24"/>
        </w:rPr>
      </w:pPr>
      <w:r>
        <w:rPr>
          <w:rFonts w:hint="eastAsia"/>
          <w:sz w:val="24"/>
          <w:szCs w:val="24"/>
        </w:rPr>
        <w:t>（7）共享电动车停放工程建设方案，包括但不限于以下内容：</w:t>
      </w:r>
    </w:p>
    <w:p>
      <w:pPr>
        <w:snapToGrid w:val="0"/>
        <w:spacing w:line="360" w:lineRule="auto"/>
        <w:ind w:firstLine="480" w:firstLineChars="200"/>
        <w:jc w:val="left"/>
        <w:rPr>
          <w:sz w:val="24"/>
          <w:szCs w:val="24"/>
        </w:rPr>
      </w:pPr>
      <w:r>
        <w:rPr>
          <w:rFonts w:hint="eastAsia"/>
          <w:sz w:val="24"/>
          <w:szCs w:val="24"/>
        </w:rPr>
        <w:t xml:space="preserve">     1）工程投资预算；</w:t>
      </w:r>
    </w:p>
    <w:p>
      <w:pPr>
        <w:snapToGrid w:val="0"/>
        <w:spacing w:line="360" w:lineRule="auto"/>
        <w:ind w:firstLine="480" w:firstLineChars="200"/>
        <w:jc w:val="left"/>
        <w:rPr>
          <w:sz w:val="24"/>
          <w:szCs w:val="24"/>
        </w:rPr>
      </w:pPr>
      <w:r>
        <w:rPr>
          <w:rFonts w:hint="eastAsia"/>
          <w:sz w:val="24"/>
          <w:szCs w:val="24"/>
        </w:rPr>
        <w:t xml:space="preserve">     2）工程设计图纸；</w:t>
      </w:r>
    </w:p>
    <w:p>
      <w:pPr>
        <w:pStyle w:val="53"/>
        <w:numPr>
          <w:ilvl w:val="0"/>
          <w:numId w:val="3"/>
        </w:numPr>
        <w:snapToGrid w:val="0"/>
        <w:spacing w:line="360" w:lineRule="auto"/>
        <w:ind w:firstLineChars="0"/>
        <w:jc w:val="left"/>
        <w:rPr>
          <w:sz w:val="24"/>
          <w:szCs w:val="24"/>
        </w:rPr>
      </w:pPr>
      <w:r>
        <w:rPr>
          <w:rFonts w:hint="eastAsia"/>
          <w:sz w:val="24"/>
          <w:szCs w:val="24"/>
        </w:rPr>
        <w:t>投入设备说明。</w:t>
      </w:r>
    </w:p>
    <w:p>
      <w:pPr>
        <w:snapToGrid w:val="0"/>
        <w:spacing w:line="360" w:lineRule="auto"/>
        <w:ind w:firstLine="480" w:firstLineChars="200"/>
        <w:jc w:val="left"/>
        <w:rPr>
          <w:sz w:val="24"/>
          <w:szCs w:val="24"/>
        </w:rPr>
      </w:pPr>
      <w:r>
        <w:rPr>
          <w:rFonts w:hint="eastAsia"/>
          <w:sz w:val="24"/>
          <w:szCs w:val="24"/>
        </w:rPr>
        <w:t>（8）运营方案，包括但不限于以下内容：</w:t>
      </w:r>
    </w:p>
    <w:p>
      <w:pPr>
        <w:snapToGrid w:val="0"/>
        <w:spacing w:line="360" w:lineRule="auto"/>
        <w:ind w:firstLine="480" w:firstLineChars="200"/>
        <w:jc w:val="left"/>
        <w:rPr>
          <w:sz w:val="24"/>
          <w:szCs w:val="24"/>
        </w:rPr>
      </w:pPr>
      <w:r>
        <w:rPr>
          <w:rFonts w:hint="eastAsia"/>
          <w:sz w:val="24"/>
          <w:szCs w:val="24"/>
        </w:rPr>
        <w:t xml:space="preserve">     1）运营优势；</w:t>
      </w:r>
    </w:p>
    <w:p>
      <w:pPr>
        <w:snapToGrid w:val="0"/>
        <w:spacing w:line="360" w:lineRule="auto"/>
        <w:ind w:firstLine="480" w:firstLineChars="200"/>
        <w:jc w:val="left"/>
        <w:rPr>
          <w:sz w:val="24"/>
          <w:szCs w:val="24"/>
        </w:rPr>
      </w:pPr>
      <w:r>
        <w:rPr>
          <w:rFonts w:hint="eastAsia"/>
          <w:sz w:val="24"/>
          <w:szCs w:val="24"/>
        </w:rPr>
        <w:t xml:space="preserve">     2）项目组织架构与管理团队；</w:t>
      </w:r>
    </w:p>
    <w:p>
      <w:pPr>
        <w:snapToGrid w:val="0"/>
        <w:spacing w:line="360" w:lineRule="auto"/>
        <w:ind w:firstLine="480" w:firstLineChars="200"/>
        <w:jc w:val="left"/>
        <w:rPr>
          <w:sz w:val="24"/>
          <w:szCs w:val="24"/>
        </w:rPr>
      </w:pPr>
      <w:r>
        <w:rPr>
          <w:rFonts w:hint="eastAsia"/>
          <w:sz w:val="24"/>
          <w:szCs w:val="24"/>
        </w:rPr>
        <w:t xml:space="preserve">     3）运营流程；</w:t>
      </w:r>
    </w:p>
    <w:p>
      <w:pPr>
        <w:snapToGrid w:val="0"/>
        <w:spacing w:line="360" w:lineRule="auto"/>
        <w:ind w:firstLine="480" w:firstLineChars="200"/>
        <w:jc w:val="left"/>
        <w:rPr>
          <w:sz w:val="24"/>
          <w:szCs w:val="24"/>
        </w:rPr>
      </w:pPr>
      <w:r>
        <w:rPr>
          <w:rFonts w:hint="eastAsia"/>
          <w:sz w:val="24"/>
          <w:szCs w:val="24"/>
        </w:rPr>
        <w:t xml:space="preserve">     4）管理制度；</w:t>
      </w:r>
    </w:p>
    <w:p>
      <w:pPr>
        <w:pStyle w:val="53"/>
        <w:numPr>
          <w:ilvl w:val="0"/>
          <w:numId w:val="0"/>
        </w:numPr>
        <w:snapToGrid w:val="0"/>
        <w:spacing w:line="360" w:lineRule="auto"/>
        <w:ind w:left="945" w:leftChars="0" w:firstLine="240" w:firstLineChars="100"/>
        <w:jc w:val="left"/>
        <w:rPr>
          <w:sz w:val="24"/>
          <w:szCs w:val="24"/>
        </w:rPr>
      </w:pPr>
      <w:r>
        <w:rPr>
          <w:rFonts w:hint="eastAsia"/>
          <w:sz w:val="24"/>
          <w:szCs w:val="24"/>
          <w:lang w:val="en-US" w:eastAsia="zh-CN"/>
        </w:rPr>
        <w:t>5）</w:t>
      </w:r>
      <w:r>
        <w:rPr>
          <w:rFonts w:hint="eastAsia"/>
          <w:sz w:val="24"/>
          <w:szCs w:val="24"/>
        </w:rPr>
        <w:t>对校园内共享电动车的流量分析以及应对方案。</w:t>
      </w:r>
    </w:p>
    <w:p>
      <w:pPr>
        <w:snapToGrid w:val="0"/>
        <w:spacing w:line="360" w:lineRule="auto"/>
        <w:ind w:firstLine="480" w:firstLineChars="200"/>
        <w:jc w:val="left"/>
        <w:rPr>
          <w:sz w:val="24"/>
          <w:szCs w:val="24"/>
        </w:rPr>
      </w:pPr>
      <w:r>
        <w:rPr>
          <w:rFonts w:hint="eastAsia"/>
          <w:sz w:val="24"/>
          <w:szCs w:val="24"/>
        </w:rPr>
        <w:t>（9）服务与承诺，包括但不限于以下内容：</w:t>
      </w:r>
    </w:p>
    <w:p>
      <w:pPr>
        <w:snapToGrid w:val="0"/>
        <w:spacing w:line="360" w:lineRule="auto"/>
        <w:ind w:firstLine="480" w:firstLineChars="200"/>
        <w:jc w:val="left"/>
        <w:rPr>
          <w:sz w:val="24"/>
          <w:szCs w:val="24"/>
        </w:rPr>
      </w:pPr>
      <w:r>
        <w:rPr>
          <w:rFonts w:hint="eastAsia"/>
          <w:sz w:val="24"/>
          <w:szCs w:val="24"/>
        </w:rPr>
        <w:t xml:space="preserve">    1）服务的标准；</w:t>
      </w:r>
    </w:p>
    <w:p>
      <w:pPr>
        <w:snapToGrid w:val="0"/>
        <w:spacing w:line="360" w:lineRule="auto"/>
        <w:ind w:firstLine="480" w:firstLineChars="200"/>
        <w:jc w:val="left"/>
        <w:rPr>
          <w:sz w:val="24"/>
          <w:szCs w:val="24"/>
        </w:rPr>
      </w:pPr>
      <w:r>
        <w:rPr>
          <w:rFonts w:hint="eastAsia"/>
          <w:sz w:val="24"/>
          <w:szCs w:val="24"/>
        </w:rPr>
        <w:t xml:space="preserve">    2）增值服务；</w:t>
      </w:r>
    </w:p>
    <w:p>
      <w:pPr>
        <w:snapToGrid w:val="0"/>
        <w:spacing w:line="360" w:lineRule="auto"/>
        <w:ind w:firstLine="480" w:firstLineChars="200"/>
        <w:jc w:val="left"/>
        <w:rPr>
          <w:sz w:val="24"/>
          <w:szCs w:val="24"/>
        </w:rPr>
      </w:pPr>
      <w:r>
        <w:rPr>
          <w:rFonts w:hint="eastAsia"/>
          <w:sz w:val="24"/>
          <w:szCs w:val="24"/>
        </w:rPr>
        <w:t xml:space="preserve">    3）电瓶车符合国家标准、安全、质量等相关承诺；</w:t>
      </w:r>
    </w:p>
    <w:p>
      <w:pPr>
        <w:snapToGrid w:val="0"/>
        <w:spacing w:line="360" w:lineRule="auto"/>
        <w:ind w:firstLine="480" w:firstLineChars="200"/>
        <w:jc w:val="left"/>
        <w:rPr>
          <w:sz w:val="24"/>
          <w:szCs w:val="24"/>
        </w:rPr>
      </w:pPr>
      <w:r>
        <w:rPr>
          <w:rFonts w:hint="eastAsia"/>
          <w:sz w:val="24"/>
          <w:szCs w:val="24"/>
        </w:rPr>
        <w:t xml:space="preserve">    4）问题车处理措施；</w:t>
      </w:r>
    </w:p>
    <w:p>
      <w:pPr>
        <w:snapToGrid w:val="0"/>
        <w:spacing w:line="360" w:lineRule="auto"/>
        <w:ind w:firstLine="480" w:firstLineChars="200"/>
        <w:jc w:val="left"/>
        <w:rPr>
          <w:sz w:val="24"/>
          <w:szCs w:val="24"/>
        </w:rPr>
      </w:pPr>
      <w:r>
        <w:rPr>
          <w:rFonts w:hint="eastAsia"/>
          <w:sz w:val="24"/>
          <w:szCs w:val="24"/>
        </w:rPr>
        <w:t xml:space="preserve">    5）特殊情况应急措施（如发生车祸、出现火灾等突发情况的应急预案）。</w:t>
      </w:r>
    </w:p>
    <w:p>
      <w:pPr>
        <w:snapToGrid w:val="0"/>
        <w:spacing w:line="360" w:lineRule="auto"/>
        <w:ind w:firstLine="480" w:firstLineChars="200"/>
        <w:jc w:val="left"/>
        <w:rPr>
          <w:sz w:val="24"/>
          <w:szCs w:val="24"/>
        </w:rPr>
      </w:pPr>
      <w:r>
        <w:rPr>
          <w:rFonts w:hint="eastAsia"/>
          <w:sz w:val="24"/>
          <w:szCs w:val="24"/>
        </w:rPr>
        <w:t xml:space="preserve">    6）安全保证资料（保险额度、车速限速技术、电动车品质证明等）。</w:t>
      </w:r>
    </w:p>
    <w:p>
      <w:pPr>
        <w:snapToGrid w:val="0"/>
        <w:spacing w:line="360" w:lineRule="auto"/>
        <w:ind w:firstLine="960" w:firstLineChars="400"/>
        <w:jc w:val="left"/>
        <w:rPr>
          <w:sz w:val="24"/>
          <w:szCs w:val="24"/>
        </w:rPr>
      </w:pPr>
      <w:r>
        <w:rPr>
          <w:rFonts w:hint="eastAsia"/>
          <w:sz w:val="24"/>
          <w:szCs w:val="24"/>
        </w:rPr>
        <w:t>7）针对运营管理过程中与校方的配合程度、交通安全事故责任、学生个人信息、车辆维护等方面的责任保证书。</w:t>
      </w:r>
    </w:p>
    <w:p>
      <w:pPr>
        <w:snapToGrid w:val="0"/>
        <w:spacing w:line="360" w:lineRule="auto"/>
        <w:ind w:firstLine="480" w:firstLineChars="200"/>
        <w:jc w:val="left"/>
        <w:rPr>
          <w:sz w:val="24"/>
          <w:szCs w:val="24"/>
        </w:rPr>
      </w:pPr>
      <w:r>
        <w:rPr>
          <w:rFonts w:hint="eastAsia"/>
          <w:sz w:val="24"/>
          <w:szCs w:val="24"/>
        </w:rPr>
        <w:t>（10）供应商认为需要提供的与本次磋商和评审评分有关的资料。</w:t>
      </w:r>
    </w:p>
    <w:p>
      <w:pPr>
        <w:snapToGrid w:val="0"/>
        <w:spacing w:beforeLines="50" w:line="360" w:lineRule="auto"/>
        <w:ind w:firstLine="472" w:firstLineChars="196"/>
        <w:jc w:val="left"/>
        <w:rPr>
          <w:rFonts w:ascii="宋体" w:hAnsi="宋体"/>
          <w:b/>
          <w:sz w:val="24"/>
          <w:szCs w:val="24"/>
        </w:rPr>
      </w:pPr>
      <w:r>
        <w:rPr>
          <w:rFonts w:hint="eastAsia" w:ascii="宋体" w:hAnsi="宋体"/>
          <w:b/>
          <w:sz w:val="24"/>
          <w:szCs w:val="24"/>
        </w:rPr>
        <w:t>2.</w:t>
      </w:r>
      <w:r>
        <w:rPr>
          <w:rFonts w:ascii="宋体" w:hAnsi="宋体"/>
          <w:b/>
          <w:sz w:val="24"/>
          <w:szCs w:val="24"/>
        </w:rPr>
        <w:t>报价文件：</w:t>
      </w:r>
    </w:p>
    <w:p>
      <w:pPr>
        <w:pStyle w:val="12"/>
        <w:snapToGrid w:val="0"/>
        <w:spacing w:line="360" w:lineRule="auto"/>
        <w:ind w:firstLine="480" w:firstLineChars="200"/>
        <w:rPr>
          <w:sz w:val="24"/>
          <w:szCs w:val="24"/>
        </w:rPr>
      </w:pPr>
      <w:r>
        <w:rPr>
          <w:rFonts w:hint="eastAsia"/>
          <w:sz w:val="24"/>
          <w:szCs w:val="24"/>
        </w:rPr>
        <w:t>（1</w:t>
      </w:r>
      <w:r>
        <w:rPr>
          <w:sz w:val="24"/>
          <w:szCs w:val="24"/>
        </w:rPr>
        <w:t>）</w:t>
      </w:r>
      <w:r>
        <w:rPr>
          <w:rFonts w:hint="eastAsia"/>
          <w:sz w:val="24"/>
          <w:szCs w:val="24"/>
        </w:rPr>
        <w:t>报价一览</w:t>
      </w:r>
      <w:r>
        <w:rPr>
          <w:sz w:val="24"/>
          <w:szCs w:val="24"/>
        </w:rPr>
        <w:t>表；</w:t>
      </w:r>
    </w:p>
    <w:p>
      <w:pPr>
        <w:snapToGrid w:val="0"/>
        <w:spacing w:line="360" w:lineRule="auto"/>
        <w:ind w:firstLine="600" w:firstLineChars="250"/>
        <w:jc w:val="left"/>
        <w:rPr>
          <w:sz w:val="24"/>
          <w:szCs w:val="24"/>
        </w:rPr>
      </w:pPr>
      <w:r>
        <w:rPr>
          <w:rFonts w:hint="eastAsia"/>
          <w:sz w:val="24"/>
          <w:szCs w:val="24"/>
        </w:rPr>
        <w:t>（2</w:t>
      </w:r>
      <w:r>
        <w:rPr>
          <w:sz w:val="24"/>
          <w:szCs w:val="24"/>
        </w:rPr>
        <w:t>）</w:t>
      </w:r>
      <w:r>
        <w:rPr>
          <w:rFonts w:hint="eastAsia"/>
          <w:sz w:val="24"/>
          <w:szCs w:val="24"/>
        </w:rPr>
        <w:t>针对报价</w:t>
      </w:r>
      <w:r>
        <w:rPr>
          <w:sz w:val="24"/>
          <w:szCs w:val="24"/>
        </w:rPr>
        <w:t>需要说明的其</w:t>
      </w:r>
      <w:r>
        <w:rPr>
          <w:rFonts w:hint="eastAsia"/>
          <w:sz w:val="24"/>
          <w:szCs w:val="24"/>
        </w:rPr>
        <w:t>它材料。</w:t>
      </w:r>
    </w:p>
    <w:p>
      <w:pPr>
        <w:snapToGrid w:val="0"/>
        <w:spacing w:line="360" w:lineRule="auto"/>
        <w:ind w:firstLine="600" w:firstLineChars="250"/>
        <w:jc w:val="left"/>
        <w:rPr>
          <w:sz w:val="24"/>
          <w:szCs w:val="24"/>
        </w:rPr>
      </w:pPr>
      <w:r>
        <w:rPr>
          <w:sz w:val="24"/>
          <w:szCs w:val="24"/>
        </w:rPr>
        <w:t>▲</w:t>
      </w:r>
      <w:r>
        <w:rPr>
          <w:rFonts w:hint="eastAsia"/>
          <w:sz w:val="24"/>
          <w:szCs w:val="24"/>
        </w:rPr>
        <w:t>在磋商期间形成的有关承诺、报价等均被视为磋商响应文件的重要组成部分，并且不可撤回。</w:t>
      </w:r>
    </w:p>
    <w:p>
      <w:pPr>
        <w:spacing w:line="360" w:lineRule="auto"/>
        <w:ind w:firstLine="482" w:firstLineChars="200"/>
        <w:jc w:val="left"/>
        <w:rPr>
          <w:b/>
          <w:bCs/>
          <w:sz w:val="24"/>
          <w:szCs w:val="24"/>
        </w:rPr>
      </w:pPr>
      <w:r>
        <w:rPr>
          <w:rFonts w:hint="eastAsia"/>
          <w:b/>
          <w:bCs/>
          <w:sz w:val="24"/>
          <w:szCs w:val="24"/>
        </w:rPr>
        <w:t>（二）磋商响应文件的签署和份数</w:t>
      </w:r>
    </w:p>
    <w:p>
      <w:pPr>
        <w:spacing w:line="360" w:lineRule="auto"/>
        <w:ind w:firstLine="480" w:firstLineChars="200"/>
        <w:jc w:val="left"/>
        <w:rPr>
          <w:rFonts w:ascii="宋体" w:hAnsi="宋体"/>
          <w:sz w:val="24"/>
          <w:szCs w:val="24"/>
        </w:rPr>
      </w:pPr>
      <w:r>
        <w:rPr>
          <w:rFonts w:hint="eastAsia"/>
          <w:sz w:val="24"/>
          <w:szCs w:val="24"/>
        </w:rPr>
        <w:t>1. 磋商响应文件需用A4纸张打印并装订，装订顺序应按</w:t>
      </w:r>
      <w:r>
        <w:rPr>
          <w:rFonts w:hint="eastAsia" w:ascii="宋体" w:hAnsi="宋体"/>
          <w:sz w:val="24"/>
          <w:szCs w:val="24"/>
        </w:rPr>
        <w:t>磋商响应文件组成所叙顺序装订。</w:t>
      </w:r>
    </w:p>
    <w:p>
      <w:pPr>
        <w:spacing w:line="360" w:lineRule="auto"/>
        <w:ind w:firstLine="480" w:firstLineChars="200"/>
        <w:jc w:val="left"/>
        <w:rPr>
          <w:rFonts w:ascii="宋体" w:hAnsi="宋体"/>
          <w:sz w:val="24"/>
          <w:szCs w:val="24"/>
        </w:rPr>
      </w:pPr>
      <w:r>
        <w:rPr>
          <w:rFonts w:hint="eastAsia" w:ascii="宋体" w:hAnsi="宋体"/>
          <w:sz w:val="24"/>
          <w:szCs w:val="24"/>
        </w:rPr>
        <w:t>2. 所有磋商响应文件均须由供应商盖章，正本1份副本10份并由法定代表人或授权代表签署。供应商名称应写全称。</w:t>
      </w:r>
    </w:p>
    <w:p>
      <w:pPr>
        <w:spacing w:line="360" w:lineRule="auto"/>
        <w:ind w:firstLine="480" w:firstLineChars="200"/>
        <w:rPr>
          <w:rFonts w:ascii="宋体" w:hAnsi="宋体"/>
          <w:sz w:val="24"/>
          <w:szCs w:val="24"/>
        </w:rPr>
      </w:pPr>
      <w:r>
        <w:rPr>
          <w:rFonts w:hint="eastAsia" w:ascii="宋体" w:hAnsi="宋体"/>
          <w:sz w:val="24"/>
          <w:szCs w:val="24"/>
        </w:rPr>
        <w:t>3.响应文件因字迹潦草或表达不清所引起的后果由供应商负责。</w:t>
      </w:r>
    </w:p>
    <w:p>
      <w:pPr>
        <w:spacing w:line="360" w:lineRule="auto"/>
        <w:ind w:firstLine="482" w:firstLineChars="200"/>
        <w:rPr>
          <w:rFonts w:ascii="宋体" w:hAnsi="宋体"/>
          <w:b/>
          <w:sz w:val="24"/>
          <w:szCs w:val="24"/>
        </w:rPr>
      </w:pPr>
      <w:r>
        <w:rPr>
          <w:rFonts w:hint="eastAsia" w:ascii="宋体" w:hAnsi="宋体"/>
          <w:b/>
          <w:sz w:val="24"/>
          <w:szCs w:val="24"/>
        </w:rPr>
        <w:t>（三）磋商响应文件报价</w:t>
      </w:r>
    </w:p>
    <w:p>
      <w:pPr>
        <w:spacing w:line="360" w:lineRule="auto"/>
        <w:ind w:firstLine="480" w:firstLineChars="200"/>
        <w:jc w:val="left"/>
        <w:rPr>
          <w:sz w:val="24"/>
          <w:szCs w:val="24"/>
        </w:rPr>
      </w:pPr>
      <w:r>
        <w:rPr>
          <w:rFonts w:hint="eastAsia"/>
          <w:sz w:val="24"/>
          <w:szCs w:val="24"/>
        </w:rPr>
        <w:t>1. 竞争性磋商报价形式：国内产品以人民币填报。</w:t>
      </w:r>
    </w:p>
    <w:p>
      <w:pPr>
        <w:spacing w:line="360" w:lineRule="auto"/>
        <w:ind w:firstLine="236" w:firstLineChars="98"/>
        <w:jc w:val="left"/>
        <w:rPr>
          <w:b/>
          <w:sz w:val="24"/>
          <w:szCs w:val="24"/>
        </w:rPr>
      </w:pPr>
      <w:r>
        <w:rPr>
          <w:b/>
          <w:sz w:val="24"/>
          <w:szCs w:val="24"/>
        </w:rPr>
        <w:t>▲</w:t>
      </w:r>
      <w:r>
        <w:rPr>
          <w:rFonts w:hint="eastAsia"/>
          <w:b/>
          <w:sz w:val="24"/>
          <w:szCs w:val="24"/>
        </w:rPr>
        <w:t>2. 磋商</w:t>
      </w:r>
      <w:r>
        <w:rPr>
          <w:b/>
          <w:sz w:val="24"/>
          <w:szCs w:val="24"/>
        </w:rPr>
        <w:t>报价是履行合同的最终价格，</w:t>
      </w:r>
      <w:r>
        <w:rPr>
          <w:rFonts w:hint="eastAsia"/>
          <w:b/>
          <w:sz w:val="24"/>
          <w:szCs w:val="24"/>
        </w:rPr>
        <w:t>指租用共享车的计价标准的最终价格</w:t>
      </w:r>
      <w:r>
        <w:rPr>
          <w:b/>
          <w:sz w:val="24"/>
          <w:szCs w:val="24"/>
        </w:rPr>
        <w:t>。</w:t>
      </w:r>
    </w:p>
    <w:p>
      <w:pPr>
        <w:spacing w:line="360" w:lineRule="auto"/>
        <w:ind w:firstLine="480" w:firstLineChars="200"/>
        <w:jc w:val="left"/>
        <w:rPr>
          <w:sz w:val="24"/>
          <w:szCs w:val="24"/>
        </w:rPr>
      </w:pPr>
      <w:r>
        <w:rPr>
          <w:rFonts w:hint="eastAsia"/>
          <w:sz w:val="24"/>
          <w:szCs w:val="24"/>
        </w:rPr>
        <w:t>3. 供应商应按竞争性磋商文件的要求认真填写相应材料，磋商响应文件的大写金额和小写金额不一致的，以大写金额为准。</w:t>
      </w:r>
    </w:p>
    <w:p>
      <w:pPr>
        <w:spacing w:line="360" w:lineRule="auto"/>
        <w:jc w:val="left"/>
        <w:rPr>
          <w:rFonts w:ascii="宋体" w:hAnsi="宋体"/>
          <w:b/>
          <w:sz w:val="24"/>
          <w:szCs w:val="24"/>
        </w:rPr>
      </w:pPr>
      <w:r>
        <w:rPr>
          <w:rFonts w:hint="eastAsia" w:ascii="宋体" w:hAnsi="宋体"/>
          <w:b/>
          <w:sz w:val="24"/>
          <w:szCs w:val="24"/>
        </w:rPr>
        <w:t>三、磋商响应文件的递交</w:t>
      </w:r>
    </w:p>
    <w:p>
      <w:pPr>
        <w:spacing w:line="360" w:lineRule="auto"/>
        <w:ind w:firstLine="480" w:firstLineChars="200"/>
        <w:jc w:val="left"/>
        <w:rPr>
          <w:rFonts w:ascii="宋体" w:hAnsi="宋体"/>
          <w:sz w:val="24"/>
          <w:szCs w:val="24"/>
        </w:rPr>
      </w:pPr>
      <w:r>
        <w:rPr>
          <w:rFonts w:hint="eastAsia" w:ascii="宋体" w:hAnsi="宋体"/>
          <w:sz w:val="24"/>
          <w:szCs w:val="24"/>
        </w:rPr>
        <w:t>（一）磋商响应文件需加以密封，封面按格式要求制作。</w:t>
      </w:r>
    </w:p>
    <w:p>
      <w:pPr>
        <w:spacing w:line="360" w:lineRule="auto"/>
        <w:ind w:firstLine="360" w:firstLineChars="150"/>
        <w:jc w:val="left"/>
        <w:rPr>
          <w:rFonts w:ascii="宋体" w:hAnsi="宋体"/>
          <w:sz w:val="24"/>
          <w:szCs w:val="24"/>
        </w:rPr>
      </w:pPr>
      <w:r>
        <w:rPr>
          <w:rFonts w:hint="eastAsia" w:ascii="宋体" w:hAnsi="宋体"/>
          <w:sz w:val="24"/>
          <w:szCs w:val="24"/>
        </w:rPr>
        <w:t>（二）如果供应商未加写规定标记，招标方对磋商响应文件的误启和提前启封不负责任。</w:t>
      </w:r>
    </w:p>
    <w:p>
      <w:pPr>
        <w:spacing w:line="360" w:lineRule="auto"/>
        <w:ind w:firstLine="360" w:firstLineChars="150"/>
        <w:rPr>
          <w:rFonts w:ascii="宋体" w:hAnsi="宋体"/>
          <w:sz w:val="24"/>
          <w:szCs w:val="24"/>
        </w:rPr>
      </w:pPr>
      <w:r>
        <w:rPr>
          <w:rFonts w:hint="eastAsia" w:ascii="宋体" w:hAnsi="宋体"/>
          <w:sz w:val="24"/>
          <w:szCs w:val="24"/>
        </w:rPr>
        <w:t>（三）磋商响应文件的递交</w:t>
      </w:r>
    </w:p>
    <w:p>
      <w:pPr>
        <w:spacing w:line="360" w:lineRule="auto"/>
        <w:ind w:firstLine="840" w:firstLineChars="350"/>
        <w:jc w:val="left"/>
        <w:rPr>
          <w:rFonts w:ascii="宋体" w:hAnsi="宋体"/>
          <w:sz w:val="24"/>
          <w:szCs w:val="24"/>
        </w:rPr>
      </w:pPr>
      <w:r>
        <w:rPr>
          <w:rFonts w:hint="eastAsia" w:ascii="宋体" w:hAnsi="宋体"/>
          <w:sz w:val="24"/>
          <w:szCs w:val="24"/>
        </w:rPr>
        <w:t>1. 磋商响应文件必须在磋商公告中规定的截止时间前送达到指定地点。</w:t>
      </w:r>
    </w:p>
    <w:p>
      <w:pPr>
        <w:spacing w:line="360" w:lineRule="auto"/>
        <w:ind w:firstLine="840" w:firstLineChars="350"/>
        <w:jc w:val="left"/>
        <w:rPr>
          <w:rFonts w:ascii="宋体" w:hAnsi="宋体"/>
          <w:sz w:val="24"/>
          <w:szCs w:val="24"/>
        </w:rPr>
      </w:pPr>
      <w:r>
        <w:rPr>
          <w:rFonts w:hint="eastAsia" w:ascii="宋体" w:hAnsi="宋体"/>
          <w:sz w:val="24"/>
          <w:szCs w:val="24"/>
        </w:rPr>
        <w:t>2. 如保卫处推迟磋商截止时间时，磋商双方的权利和义务将受到新的截止时间的约束。</w:t>
      </w:r>
    </w:p>
    <w:p>
      <w:pPr>
        <w:spacing w:line="360" w:lineRule="auto"/>
        <w:ind w:firstLine="840" w:firstLineChars="350"/>
        <w:rPr>
          <w:rFonts w:ascii="宋体" w:hAnsi="宋体"/>
          <w:sz w:val="24"/>
          <w:szCs w:val="24"/>
        </w:rPr>
      </w:pPr>
      <w:r>
        <w:rPr>
          <w:rFonts w:hint="eastAsia" w:ascii="宋体" w:hAnsi="宋体"/>
          <w:sz w:val="24"/>
          <w:szCs w:val="24"/>
        </w:rPr>
        <w:t>3. 供应商在磋商截止时间以后送达的磋商响应文件，保卫处有权拒绝接收。</w:t>
      </w:r>
    </w:p>
    <w:p>
      <w:pPr>
        <w:spacing w:line="360" w:lineRule="auto"/>
        <w:ind w:firstLine="480" w:firstLineChars="200"/>
        <w:rPr>
          <w:rFonts w:ascii="宋体" w:hAnsi="宋体"/>
          <w:sz w:val="24"/>
          <w:szCs w:val="24"/>
        </w:rPr>
      </w:pPr>
      <w:r>
        <w:rPr>
          <w:rFonts w:hint="eastAsia" w:ascii="宋体" w:hAnsi="宋体"/>
          <w:sz w:val="24"/>
          <w:szCs w:val="24"/>
        </w:rPr>
        <w:t>（四）磋商响应文件的修改和撤回</w:t>
      </w:r>
    </w:p>
    <w:p>
      <w:pPr>
        <w:spacing w:line="360" w:lineRule="auto"/>
        <w:ind w:firstLine="480" w:firstLineChars="200"/>
        <w:jc w:val="left"/>
        <w:rPr>
          <w:rFonts w:ascii="宋体" w:hAnsi="宋体"/>
          <w:sz w:val="24"/>
          <w:szCs w:val="24"/>
        </w:rPr>
      </w:pPr>
      <w:r>
        <w:rPr>
          <w:rFonts w:hint="eastAsia" w:ascii="宋体" w:hAnsi="宋体"/>
          <w:sz w:val="24"/>
          <w:szCs w:val="24"/>
        </w:rPr>
        <w:t>1.供应商在递交磋商响应文件后，可以修改或撤回其磋商响应文件，但这种修改和撤回，必须在规定的磋商截止时间之前。</w:t>
      </w:r>
    </w:p>
    <w:p>
      <w:pPr>
        <w:spacing w:line="360" w:lineRule="auto"/>
        <w:ind w:firstLine="480" w:firstLineChars="200"/>
        <w:jc w:val="left"/>
        <w:rPr>
          <w:rFonts w:ascii="宋体" w:hAnsi="宋体"/>
          <w:sz w:val="24"/>
          <w:szCs w:val="24"/>
        </w:rPr>
      </w:pPr>
      <w:r>
        <w:rPr>
          <w:rFonts w:hint="eastAsia" w:ascii="宋体" w:hAnsi="宋体"/>
          <w:sz w:val="24"/>
          <w:szCs w:val="24"/>
        </w:rPr>
        <w:t>2. 补充、修改的内容为磋商响应文件的组成部分，相应部分以最后的补充和修改为准。</w:t>
      </w:r>
    </w:p>
    <w:p>
      <w:pPr>
        <w:spacing w:line="360" w:lineRule="auto"/>
        <w:ind w:firstLine="480" w:firstLineChars="200"/>
        <w:jc w:val="left"/>
        <w:rPr>
          <w:rFonts w:ascii="宋体" w:hAnsi="宋体"/>
          <w:sz w:val="24"/>
          <w:szCs w:val="24"/>
        </w:rPr>
      </w:pPr>
      <w:r>
        <w:rPr>
          <w:rFonts w:hint="eastAsia" w:ascii="宋体" w:hAnsi="宋体"/>
          <w:sz w:val="24"/>
          <w:szCs w:val="24"/>
        </w:rPr>
        <w:t>3. 供应商在磋商截止时间之后，不得修改磋商响应文件。</w:t>
      </w:r>
    </w:p>
    <w:p>
      <w:pPr>
        <w:spacing w:line="360" w:lineRule="auto"/>
        <w:ind w:firstLine="480" w:firstLineChars="200"/>
        <w:rPr>
          <w:rFonts w:ascii="宋体" w:hAnsi="宋体"/>
          <w:sz w:val="24"/>
          <w:szCs w:val="24"/>
        </w:rPr>
      </w:pPr>
      <w:r>
        <w:rPr>
          <w:rFonts w:hint="eastAsia" w:ascii="宋体" w:hAnsi="宋体"/>
          <w:sz w:val="24"/>
          <w:szCs w:val="24"/>
        </w:rPr>
        <w:t>4. 供应商补充和修改的书面材料应密封，由供应商授权代表签字并加盖公章。</w:t>
      </w:r>
    </w:p>
    <w:p>
      <w:pPr>
        <w:spacing w:line="360" w:lineRule="auto"/>
        <w:ind w:firstLine="468" w:firstLineChars="195"/>
        <w:rPr>
          <w:rFonts w:ascii="宋体" w:hAnsi="宋体"/>
          <w:sz w:val="24"/>
          <w:szCs w:val="24"/>
        </w:rPr>
      </w:pPr>
      <w:r>
        <w:rPr>
          <w:rFonts w:hint="eastAsia" w:ascii="宋体" w:hAnsi="宋体"/>
          <w:sz w:val="24"/>
          <w:szCs w:val="24"/>
        </w:rPr>
        <w:t>（五）磋商有效期</w:t>
      </w:r>
    </w:p>
    <w:p>
      <w:pPr>
        <w:spacing w:line="360" w:lineRule="auto"/>
        <w:ind w:firstLine="480" w:firstLineChars="200"/>
        <w:jc w:val="left"/>
        <w:rPr>
          <w:rFonts w:ascii="宋体" w:hAnsi="宋体"/>
          <w:sz w:val="24"/>
          <w:szCs w:val="24"/>
        </w:rPr>
      </w:pPr>
      <w:r>
        <w:rPr>
          <w:rFonts w:hint="eastAsia" w:ascii="宋体" w:hAnsi="宋体"/>
          <w:sz w:val="24"/>
          <w:szCs w:val="24"/>
        </w:rPr>
        <w:t>1. 磋商响应文件从磋商之日起</w:t>
      </w:r>
      <w:r>
        <w:rPr>
          <w:rFonts w:ascii="宋体" w:hAnsi="宋体"/>
          <w:sz w:val="24"/>
          <w:szCs w:val="24"/>
        </w:rPr>
        <w:t>90</w:t>
      </w:r>
      <w:r>
        <w:rPr>
          <w:rFonts w:hint="eastAsia" w:ascii="宋体" w:hAnsi="宋体"/>
          <w:sz w:val="24"/>
          <w:szCs w:val="24"/>
        </w:rPr>
        <w:t>个日历天内磋商文件应保持有效，</w:t>
      </w:r>
      <w:r>
        <w:rPr>
          <w:rFonts w:ascii="宋体" w:hAnsi="宋体"/>
          <w:sz w:val="24"/>
          <w:szCs w:val="24"/>
        </w:rPr>
        <w:t>有效期</w:t>
      </w:r>
      <w:r>
        <w:rPr>
          <w:rFonts w:hint="eastAsia" w:ascii="宋体" w:hAnsi="宋体"/>
          <w:sz w:val="24"/>
          <w:szCs w:val="24"/>
        </w:rPr>
        <w:t>不足</w:t>
      </w:r>
      <w:r>
        <w:rPr>
          <w:rFonts w:ascii="宋体" w:hAnsi="宋体"/>
          <w:sz w:val="24"/>
          <w:szCs w:val="24"/>
        </w:rPr>
        <w:t>的</w:t>
      </w:r>
      <w:r>
        <w:rPr>
          <w:rFonts w:hint="eastAsia" w:ascii="宋体" w:hAnsi="宋体"/>
          <w:sz w:val="24"/>
          <w:szCs w:val="24"/>
        </w:rPr>
        <w:t>响应文件</w:t>
      </w:r>
      <w:r>
        <w:rPr>
          <w:rFonts w:ascii="宋体" w:hAnsi="宋体"/>
          <w:sz w:val="24"/>
          <w:szCs w:val="24"/>
        </w:rPr>
        <w:t>将被拒绝。</w:t>
      </w:r>
      <w:r>
        <w:rPr>
          <w:rFonts w:hint="eastAsia" w:ascii="宋体" w:hAnsi="宋体"/>
          <w:sz w:val="24"/>
          <w:szCs w:val="24"/>
        </w:rPr>
        <w:t>成交供应商</w:t>
      </w:r>
      <w:r>
        <w:rPr>
          <w:rFonts w:ascii="宋体" w:hAnsi="宋体"/>
          <w:sz w:val="24"/>
          <w:szCs w:val="24"/>
        </w:rPr>
        <w:t>的</w:t>
      </w:r>
      <w:r>
        <w:rPr>
          <w:rFonts w:hint="eastAsia" w:ascii="宋体" w:hAnsi="宋体"/>
          <w:sz w:val="24"/>
          <w:szCs w:val="24"/>
        </w:rPr>
        <w:t>响应</w:t>
      </w:r>
      <w:r>
        <w:rPr>
          <w:rFonts w:ascii="宋体" w:hAnsi="宋体"/>
          <w:sz w:val="24"/>
          <w:szCs w:val="24"/>
        </w:rPr>
        <w:t>文件自</w:t>
      </w:r>
      <w:r>
        <w:rPr>
          <w:rFonts w:hint="eastAsia" w:ascii="宋体" w:hAnsi="宋体"/>
          <w:sz w:val="24"/>
          <w:szCs w:val="24"/>
        </w:rPr>
        <w:t>磋商</w:t>
      </w:r>
      <w:r>
        <w:rPr>
          <w:rFonts w:ascii="宋体" w:hAnsi="宋体"/>
          <w:sz w:val="24"/>
          <w:szCs w:val="24"/>
        </w:rPr>
        <w:t>之日起至合同履行完毕止均应保持有效。</w:t>
      </w:r>
    </w:p>
    <w:p>
      <w:pPr>
        <w:spacing w:line="360" w:lineRule="auto"/>
        <w:ind w:firstLine="480" w:firstLineChars="200"/>
        <w:jc w:val="left"/>
        <w:rPr>
          <w:rFonts w:ascii="宋体" w:hAnsi="宋体"/>
          <w:sz w:val="24"/>
          <w:szCs w:val="24"/>
        </w:rPr>
      </w:pPr>
      <w:r>
        <w:rPr>
          <w:rFonts w:hint="eastAsia" w:ascii="宋体" w:hAnsi="宋体"/>
          <w:sz w:val="24"/>
          <w:szCs w:val="24"/>
        </w:rPr>
        <w:t>2. 在特殊情况下，在原磋商有效期满之前，采购中心可向供应商提出延长磋商有效期的要求，并以书面、传真的形式告之供应商。</w:t>
      </w:r>
    </w:p>
    <w:p>
      <w:pPr>
        <w:tabs>
          <w:tab w:val="left" w:pos="1110"/>
        </w:tabs>
        <w:spacing w:line="360" w:lineRule="auto"/>
        <w:ind w:right="-86" w:rightChars="-41"/>
        <w:rPr>
          <w:rFonts w:ascii="宋体" w:hAnsi="宋体"/>
          <w:b/>
          <w:sz w:val="24"/>
          <w:szCs w:val="24"/>
        </w:rPr>
      </w:pPr>
      <w:r>
        <w:rPr>
          <w:rFonts w:ascii="宋体" w:hAnsi="宋体"/>
          <w:b/>
          <w:sz w:val="24"/>
          <w:szCs w:val="24"/>
        </w:rPr>
        <w:t>四</w:t>
      </w:r>
      <w:r>
        <w:rPr>
          <w:rFonts w:hint="eastAsia" w:ascii="宋体" w:hAnsi="宋体"/>
          <w:b/>
          <w:sz w:val="24"/>
          <w:szCs w:val="24"/>
        </w:rPr>
        <w:t>、磋商</w:t>
      </w:r>
    </w:p>
    <w:p>
      <w:pPr>
        <w:tabs>
          <w:tab w:val="left" w:pos="1415"/>
        </w:tabs>
        <w:spacing w:line="360" w:lineRule="auto"/>
        <w:ind w:firstLine="482" w:firstLineChars="200"/>
        <w:rPr>
          <w:rFonts w:ascii="宋体" w:hAnsi="宋体"/>
          <w:b/>
          <w:sz w:val="24"/>
          <w:szCs w:val="24"/>
        </w:rPr>
      </w:pPr>
      <w:r>
        <w:rPr>
          <w:rFonts w:hint="eastAsia" w:ascii="宋体" w:hAnsi="宋体"/>
          <w:b/>
          <w:sz w:val="24"/>
          <w:szCs w:val="24"/>
        </w:rPr>
        <w:t>（一）磋商开启准备</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保卫处将在规定的时间和地点开启磋商，供应商的法定代表人或其全权代表应参加磋商开启会并签到。</w:t>
      </w:r>
    </w:p>
    <w:p>
      <w:pPr>
        <w:tabs>
          <w:tab w:val="left" w:pos="1415"/>
        </w:tabs>
        <w:spacing w:line="360" w:lineRule="auto"/>
        <w:ind w:firstLine="482" w:firstLineChars="200"/>
        <w:rPr>
          <w:rFonts w:ascii="宋体" w:hAnsi="宋体"/>
          <w:b/>
          <w:sz w:val="24"/>
          <w:szCs w:val="24"/>
        </w:rPr>
      </w:pPr>
      <w:r>
        <w:rPr>
          <w:rFonts w:hint="eastAsia" w:ascii="宋体" w:hAnsi="宋体"/>
          <w:b/>
          <w:sz w:val="24"/>
          <w:szCs w:val="24"/>
        </w:rPr>
        <w:t>（二）组建磋商小组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保卫处按照有关规定组成磋商小组，磋商小组由招标方的代表、使用人代表和有关技术、经济、法律等方面人员组成。磋商小组负责整个磋商过程的评审与磋商，并推荐成交候选供应商。</w:t>
      </w:r>
    </w:p>
    <w:p>
      <w:pPr>
        <w:tabs>
          <w:tab w:val="left" w:pos="1415"/>
        </w:tabs>
        <w:spacing w:line="360" w:lineRule="auto"/>
        <w:ind w:firstLine="480" w:firstLineChars="200"/>
        <w:rPr>
          <w:rFonts w:ascii="宋体" w:hAnsi="宋体"/>
          <w:b/>
          <w:sz w:val="24"/>
          <w:szCs w:val="24"/>
        </w:rPr>
      </w:pPr>
      <w:r>
        <w:rPr>
          <w:rFonts w:hint="eastAsia" w:ascii="宋体" w:hAnsi="宋体"/>
          <w:sz w:val="24"/>
          <w:szCs w:val="24"/>
        </w:rPr>
        <w:t>（三）</w:t>
      </w:r>
      <w:r>
        <w:rPr>
          <w:rFonts w:hint="eastAsia" w:ascii="宋体" w:hAnsi="宋体"/>
          <w:b/>
          <w:sz w:val="24"/>
          <w:szCs w:val="24"/>
        </w:rPr>
        <w:t>确认响应文件</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磋商小组对响应文件</w:t>
      </w:r>
      <w:bookmarkStart w:id="29" w:name="_Toc20823304"/>
      <w:bookmarkStart w:id="30" w:name="_Toc513029232"/>
      <w:bookmarkStart w:id="31" w:name="_Toc16938548"/>
      <w:r>
        <w:rPr>
          <w:rFonts w:hint="eastAsia" w:ascii="宋体" w:hAnsi="宋体"/>
          <w:sz w:val="24"/>
          <w:szCs w:val="24"/>
        </w:rPr>
        <w:t>进行确认。</w:t>
      </w:r>
    </w:p>
    <w:bookmarkEnd w:id="29"/>
    <w:bookmarkEnd w:id="30"/>
    <w:bookmarkEnd w:id="31"/>
    <w:p>
      <w:pPr>
        <w:tabs>
          <w:tab w:val="left" w:pos="1415"/>
        </w:tabs>
        <w:spacing w:line="360" w:lineRule="auto"/>
        <w:ind w:firstLine="482" w:firstLineChars="200"/>
        <w:rPr>
          <w:rFonts w:ascii="宋体" w:hAnsi="宋体"/>
          <w:b/>
          <w:sz w:val="24"/>
          <w:szCs w:val="24"/>
        </w:rPr>
      </w:pPr>
      <w:r>
        <w:rPr>
          <w:rFonts w:hint="eastAsia" w:ascii="宋体" w:hAnsi="宋体"/>
          <w:b/>
          <w:sz w:val="24"/>
          <w:szCs w:val="24"/>
        </w:rPr>
        <w:t>（四）磋商程序、最后报价、综合评分</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 xml:space="preserve"> 1、本项目的竞争性磋商由保卫处主持，主持人介绍参加磋商活动的工作人员及磋商小组成员名单；</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 xml:space="preserve"> 2、主持人宣布磋商的有关事项；</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 xml:space="preserve"> 3、</w:t>
      </w:r>
      <w:bookmarkStart w:id="32" w:name="_Toc182848998"/>
      <w:r>
        <w:rPr>
          <w:rFonts w:hint="eastAsia" w:ascii="宋体" w:hAnsi="宋体"/>
          <w:sz w:val="24"/>
          <w:szCs w:val="24"/>
        </w:rPr>
        <w:t>工作人员查验响应文件的密封情况，确认无误后拆封</w:t>
      </w:r>
      <w:bookmarkEnd w:id="32"/>
      <w:r>
        <w:rPr>
          <w:rFonts w:hint="eastAsia" w:ascii="宋体" w:hAnsi="宋体"/>
          <w:sz w:val="24"/>
          <w:szCs w:val="24"/>
        </w:rPr>
        <w:t>各响应方提交的资信商务文件及技术文件、报价文件外包装，清点响应文件正本、副本数量；</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 xml:space="preserve"> 4、磋商小组对所提交的谈判响应资信商务及技术文件进行审查，审查结束后，公布无效响应方名单、响应无效的原因、标项废标情况；</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5、磋商小组按竞争性磋商文件要求分别进行磋商，并给予所有参加磋商的供应商平等的磋商机会。</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6、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7、磋商文件能够详细列明采购标的的技术、服务要求的，磋商结束后，磋商小组将要求所有实质性响应的供应商在规定时间内提交最终报价。最终报价是供应商响应文件的有效组成部分。</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8、经磋商确定最终采购需求和提交最终报价的供应商后，由磋商小组采用综合评分法对提交最终报价的供应商的响应文件和最终报价进行综合评分。综合评分法，是指响应文件满足磋商文件全部实质性要求且按评审因素的量化指标评审得分最高的供应商为成交候选供应商的评审方法。</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9、评审时，磋商小组各成员独立对每个有效响应的文件进行评价、打分，然后汇总每个供应商每项评分因素的得分。</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10、磋商小组应当根据综合评分情况，按照评审总得分由高到低顺序推荐1名成交候选供应商，并编写评审报告。评审总得分相同的，由招标方抽签确定。</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11、供应商评审总得分=资信技术文件得分+报价得分。评分时保留一位小数，计算总分时保留两位小数，各供应商的资信技术文件得分为各磋商小组</w:t>
      </w:r>
      <w:r>
        <w:rPr>
          <w:rFonts w:ascii="宋体" w:hAnsi="宋体"/>
          <w:sz w:val="24"/>
          <w:szCs w:val="24"/>
        </w:rPr>
        <w:t>成员</w:t>
      </w:r>
      <w:r>
        <w:rPr>
          <w:rFonts w:hint="eastAsia" w:ascii="宋体" w:hAnsi="宋体"/>
          <w:sz w:val="24"/>
          <w:szCs w:val="24"/>
        </w:rPr>
        <w:t>对该供应商的评分汇总后的算术平均数。</w:t>
      </w:r>
    </w:p>
    <w:p>
      <w:pPr>
        <w:tabs>
          <w:tab w:val="left" w:pos="1415"/>
        </w:tabs>
        <w:spacing w:line="360" w:lineRule="auto"/>
        <w:ind w:firstLine="482" w:firstLineChars="200"/>
        <w:rPr>
          <w:rFonts w:ascii="宋体" w:hAnsi="宋体"/>
          <w:b/>
          <w:sz w:val="24"/>
          <w:szCs w:val="24"/>
        </w:rPr>
      </w:pPr>
      <w:r>
        <w:rPr>
          <w:rFonts w:hint="eastAsia" w:ascii="宋体" w:hAnsi="宋体"/>
          <w:b/>
          <w:sz w:val="24"/>
          <w:szCs w:val="24"/>
        </w:rPr>
        <w:t>（五）其它重要事项</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1、▲供应商磋商文件中规范性要求和模式要求出现负偏离的，按无效磋商处理。</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2、▲磋商小组发现磋商文件有下列情形之一的属于重大偏差(磋商小组按少数服从多数原则认定),按照无效磋商处理：</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（1）磋商响应文件逾期送达或未按规定的地点送达的；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（2）未按磋商文件要求编制或字迹模糊、辨认不清的磋商文件；</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（3）供应商递交两份或两份以上内容不同的磋商文件，未声明哪一份有效的；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（4）没有按磋商文件格式要求加盖有效公章、无法定代表人（或授权代表）签字（或印章）（具体格式见磋商文件）；</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（5）授权代表未能出具身份证明或与法定代表人授权代表身份不符的；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资格证明文件不全的，或者不符合</w:t>
      </w:r>
      <w:r>
        <w:rPr>
          <w:rFonts w:hint="eastAsia" w:ascii="宋体" w:hAnsi="宋体"/>
          <w:sz w:val="24"/>
          <w:szCs w:val="24"/>
        </w:rPr>
        <w:t>本</w:t>
      </w:r>
      <w:r>
        <w:rPr>
          <w:rFonts w:ascii="宋体" w:hAnsi="宋体"/>
          <w:sz w:val="24"/>
          <w:szCs w:val="24"/>
        </w:rPr>
        <w:t>文件标明的资格要求的</w:t>
      </w:r>
      <w:r>
        <w:rPr>
          <w:rFonts w:hint="eastAsia" w:ascii="宋体" w:hAnsi="宋体"/>
          <w:sz w:val="24"/>
          <w:szCs w:val="24"/>
        </w:rPr>
        <w:t>；</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（7）供应商资信和技术磋商文件中出现磋商产品的商务报价的；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（8）存在串标、抬标或弄虚作假情况的；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（9）磋商</w:t>
      </w:r>
      <w:r>
        <w:rPr>
          <w:rFonts w:ascii="宋体" w:hAnsi="宋体"/>
          <w:sz w:val="24"/>
          <w:szCs w:val="24"/>
        </w:rPr>
        <w:t>有效期</w:t>
      </w:r>
      <w:r>
        <w:rPr>
          <w:rFonts w:hint="eastAsia" w:ascii="宋体" w:hAnsi="宋体"/>
          <w:sz w:val="24"/>
          <w:szCs w:val="24"/>
        </w:rPr>
        <w:t>、</w:t>
      </w:r>
      <w:r>
        <w:rPr>
          <w:rFonts w:ascii="宋体" w:hAnsi="宋体"/>
          <w:sz w:val="24"/>
          <w:szCs w:val="24"/>
        </w:rPr>
        <w:t>质保期等条款不能满足</w:t>
      </w:r>
      <w:r>
        <w:rPr>
          <w:rFonts w:hint="eastAsia" w:ascii="宋体" w:hAnsi="宋体"/>
          <w:sz w:val="24"/>
          <w:szCs w:val="24"/>
        </w:rPr>
        <w:t>磋商文件</w:t>
      </w:r>
      <w:r>
        <w:rPr>
          <w:rFonts w:ascii="宋体" w:hAnsi="宋体"/>
          <w:sz w:val="24"/>
          <w:szCs w:val="24"/>
        </w:rPr>
        <w:t>要求的；</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（10）二分之一以上的磋商小组成员认定明显不符合学校实际要求或不满足磋商文件中的主要参数的磋商文件；</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（11）其他经磋商小组认定的未能在实质上响应的或违反国家有关规定的磋商文件。</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3、实质上没有响应磋商文件要求的磋商将被拒绝。供应商不得通过修正或撤消不合要求的偏离从而使其磋商成为实质上响应的磋商。</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4、磋商小组对磋商文件的判定，只依据磋商内容本身，不依靠开标后的任何外来证明。</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5、磋商小组在评标中，不得改变磋商文件中规定的评标标准、方法和中标条件。</w:t>
      </w:r>
    </w:p>
    <w:p>
      <w:pPr>
        <w:tabs>
          <w:tab w:val="left" w:pos="1415"/>
        </w:tabs>
        <w:spacing w:line="360" w:lineRule="auto"/>
        <w:rPr>
          <w:rFonts w:ascii="宋体" w:hAnsi="宋体"/>
          <w:b/>
          <w:sz w:val="24"/>
          <w:szCs w:val="24"/>
        </w:rPr>
      </w:pPr>
      <w:r>
        <w:rPr>
          <w:rFonts w:hint="eastAsia" w:ascii="宋体" w:hAnsi="宋体"/>
          <w:b/>
          <w:sz w:val="24"/>
          <w:szCs w:val="24"/>
        </w:rPr>
        <w:t>五、磋商原则</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磋商小组按照磋商文件的要求和条件对磋商文件进行资信、技术和商务评估，综合比较与评价。</w:t>
      </w:r>
    </w:p>
    <w:p>
      <w:pPr>
        <w:tabs>
          <w:tab w:val="left" w:pos="1415"/>
        </w:tabs>
        <w:spacing w:line="360" w:lineRule="auto"/>
        <w:ind w:firstLine="480" w:firstLineChars="200"/>
        <w:rPr>
          <w:rFonts w:ascii="宋体" w:hAnsi="宋体"/>
          <w:sz w:val="24"/>
          <w:szCs w:val="24"/>
        </w:rPr>
      </w:pPr>
      <w:r>
        <w:rPr>
          <w:rFonts w:hint="eastAsia" w:ascii="宋体" w:hAnsi="宋体"/>
          <w:sz w:val="24"/>
          <w:szCs w:val="24"/>
        </w:rPr>
        <w:t>评标办法具体见本磋商文件第四章。</w:t>
      </w:r>
    </w:p>
    <w:p>
      <w:pPr>
        <w:spacing w:line="360" w:lineRule="auto"/>
        <w:rPr>
          <w:rFonts w:ascii="宋体" w:hAnsi="宋体"/>
          <w:b/>
          <w:sz w:val="24"/>
          <w:szCs w:val="24"/>
        </w:rPr>
      </w:pPr>
      <w:r>
        <w:rPr>
          <w:rFonts w:hint="eastAsia" w:ascii="宋体" w:hAnsi="宋体"/>
          <w:b/>
          <w:sz w:val="24"/>
          <w:szCs w:val="24"/>
        </w:rPr>
        <w:t>六、确定成交供应商及合同授予</w:t>
      </w:r>
    </w:p>
    <w:p>
      <w:pPr>
        <w:spacing w:line="360" w:lineRule="auto"/>
        <w:ind w:firstLine="482" w:firstLineChars="200"/>
        <w:rPr>
          <w:rFonts w:ascii="宋体" w:hAnsi="宋体"/>
          <w:b/>
          <w:sz w:val="24"/>
          <w:szCs w:val="24"/>
        </w:rPr>
      </w:pPr>
      <w:r>
        <w:rPr>
          <w:rFonts w:hint="eastAsia" w:ascii="宋体" w:hAnsi="宋体"/>
          <w:b/>
          <w:sz w:val="24"/>
          <w:szCs w:val="24"/>
        </w:rPr>
        <w:t>（一）确定成交供应商</w:t>
      </w:r>
    </w:p>
    <w:p>
      <w:pPr>
        <w:spacing w:line="360" w:lineRule="auto"/>
        <w:ind w:firstLine="480" w:firstLineChars="200"/>
        <w:rPr>
          <w:rFonts w:ascii="宋体" w:hAnsi="宋体"/>
          <w:sz w:val="24"/>
          <w:szCs w:val="24"/>
        </w:rPr>
      </w:pPr>
      <w:r>
        <w:rPr>
          <w:rFonts w:hint="eastAsia" w:ascii="宋体" w:hAnsi="宋体"/>
          <w:sz w:val="24"/>
          <w:szCs w:val="24"/>
        </w:rPr>
        <w:t>1. 磋商小组将严格按照磋商文件的要求和条件进行比较与评价，根据磋商办法推荐成交候选供应商。</w:t>
      </w:r>
    </w:p>
    <w:p>
      <w:pPr>
        <w:spacing w:line="360" w:lineRule="auto"/>
        <w:ind w:firstLine="480" w:firstLineChars="200"/>
        <w:rPr>
          <w:rFonts w:ascii="宋体" w:hAnsi="宋体"/>
          <w:sz w:val="24"/>
          <w:szCs w:val="24"/>
        </w:rPr>
      </w:pPr>
      <w:r>
        <w:rPr>
          <w:rFonts w:hint="eastAsia" w:ascii="宋体" w:hAnsi="宋体"/>
          <w:sz w:val="24"/>
          <w:szCs w:val="24"/>
        </w:rPr>
        <w:t>2. 成交供应商确定后，保卫处将在指定的采购信息发布媒体上成交公示，同时向成交供应商发出成交通知书，成交通知书对招标方和成交供应商具有同等法律效力。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3. 成交通知书发出后，招标方改变成交结果，或者成交供应商放弃成交的，应当承担相应的法律责任。</w:t>
      </w:r>
    </w:p>
    <w:p>
      <w:pPr>
        <w:spacing w:line="360" w:lineRule="auto"/>
        <w:ind w:firstLine="480" w:firstLineChars="200"/>
        <w:rPr>
          <w:rFonts w:ascii="宋体" w:hAnsi="宋体"/>
          <w:sz w:val="24"/>
          <w:szCs w:val="24"/>
        </w:rPr>
      </w:pPr>
      <w:r>
        <w:rPr>
          <w:rFonts w:hint="eastAsia" w:ascii="宋体" w:hAnsi="宋体"/>
          <w:sz w:val="24"/>
          <w:szCs w:val="24"/>
        </w:rPr>
        <w:t>4. 成交供应商因不可抗力或者自身原因不能履行采购合同的，由招标方决定是否与排列在成交供应商之后第一位的成交候选供应商签订采购合同。</w:t>
      </w:r>
    </w:p>
    <w:p>
      <w:pPr>
        <w:spacing w:line="360" w:lineRule="auto"/>
        <w:ind w:firstLine="482" w:firstLineChars="200"/>
        <w:rPr>
          <w:rFonts w:ascii="宋体" w:hAnsi="宋体"/>
          <w:b/>
          <w:sz w:val="24"/>
          <w:szCs w:val="24"/>
        </w:rPr>
      </w:pPr>
      <w:r>
        <w:rPr>
          <w:rFonts w:hint="eastAsia" w:ascii="宋体" w:hAnsi="宋体"/>
          <w:b/>
          <w:sz w:val="24"/>
          <w:szCs w:val="24"/>
        </w:rPr>
        <w:t>（二）合同授予</w:t>
      </w:r>
    </w:p>
    <w:p>
      <w:pPr>
        <w:spacing w:line="360" w:lineRule="auto"/>
        <w:ind w:firstLine="480" w:firstLineChars="200"/>
        <w:rPr>
          <w:rFonts w:ascii="宋体" w:hAnsi="宋体"/>
          <w:sz w:val="24"/>
          <w:szCs w:val="24"/>
        </w:rPr>
      </w:pPr>
      <w:r>
        <w:rPr>
          <w:rFonts w:hint="eastAsia" w:ascii="宋体" w:hAnsi="宋体"/>
          <w:sz w:val="24"/>
          <w:szCs w:val="24"/>
        </w:rPr>
        <w:t>1. 成交供应商应按成交通知规定的时间、地点与保卫处签订合同。</w:t>
      </w:r>
    </w:p>
    <w:p>
      <w:pPr>
        <w:spacing w:line="360" w:lineRule="auto"/>
        <w:ind w:firstLine="480" w:firstLineChars="200"/>
        <w:rPr>
          <w:rFonts w:ascii="宋体" w:hAnsi="宋体"/>
          <w:sz w:val="24"/>
          <w:szCs w:val="24"/>
        </w:rPr>
      </w:pPr>
      <w:r>
        <w:rPr>
          <w:rFonts w:hint="eastAsia" w:ascii="宋体" w:hAnsi="宋体"/>
          <w:sz w:val="24"/>
          <w:szCs w:val="24"/>
        </w:rPr>
        <w:t>2. 磋商文件、成交供应商的响应文件及磋商过程中有关澄清、承诺等文件均作为合同附件。</w:t>
      </w:r>
    </w:p>
    <w:p>
      <w:pPr>
        <w:spacing w:line="360" w:lineRule="auto"/>
        <w:ind w:firstLine="480" w:firstLineChars="200"/>
        <w:rPr>
          <w:rFonts w:ascii="宋体" w:hAnsi="宋体"/>
          <w:sz w:val="24"/>
          <w:szCs w:val="24"/>
        </w:rPr>
      </w:pPr>
      <w:r>
        <w:rPr>
          <w:rFonts w:hint="eastAsia" w:ascii="宋体" w:hAnsi="宋体"/>
          <w:sz w:val="24"/>
          <w:szCs w:val="24"/>
        </w:rPr>
        <w:t>3. 签订合同后，成交供应商不得将设备供应及其它相关服务进行转包。未经招标方同意，成交供应商不得采用分包形式履行合同。否则保卫处有权终止合同，履约保证金将不予退还。转包或分包造成招标方损失的，成交人还应承担相应赔偿责任。</w:t>
      </w:r>
    </w:p>
    <w:p>
      <w:pPr>
        <w:spacing w:line="360" w:lineRule="auto"/>
        <w:ind w:firstLine="361" w:firstLineChars="150"/>
        <w:rPr>
          <w:rFonts w:ascii="宋体" w:hAnsi="宋体"/>
          <w:b/>
          <w:sz w:val="24"/>
          <w:szCs w:val="24"/>
        </w:rPr>
      </w:pPr>
      <w:r>
        <w:rPr>
          <w:rFonts w:hint="eastAsia" w:ascii="宋体" w:hAnsi="宋体"/>
          <w:b/>
          <w:sz w:val="24"/>
          <w:szCs w:val="24"/>
        </w:rPr>
        <w:t>（三）履约保证金</w:t>
      </w:r>
    </w:p>
    <w:p>
      <w:pPr>
        <w:spacing w:line="360" w:lineRule="auto"/>
        <w:ind w:firstLine="468" w:firstLineChars="195"/>
        <w:rPr>
          <w:rFonts w:ascii="宋体" w:hAnsi="宋体"/>
          <w:sz w:val="24"/>
          <w:szCs w:val="24"/>
        </w:rPr>
      </w:pPr>
      <w:r>
        <w:rPr>
          <w:rFonts w:hint="eastAsia" w:ascii="宋体" w:hAnsi="宋体"/>
          <w:sz w:val="24"/>
          <w:szCs w:val="24"/>
        </w:rPr>
        <w:t>1.签订合同后三日内，成交供应商须向学校指定账户交纳履约保证金5万元（伍万元整）。无质量问题或其他方面问题，合同期满后5日内无息退还。退还途径：乙方出具交纳保证金凭证、收据、本单位的开户银行和账号，甲方以转账方式退还。</w:t>
      </w:r>
    </w:p>
    <w:p>
      <w:pPr>
        <w:spacing w:line="360" w:lineRule="auto"/>
        <w:ind w:firstLine="470" w:firstLineChars="195"/>
        <w:rPr>
          <w:rFonts w:ascii="宋体" w:hAnsi="宋体"/>
          <w:b/>
          <w:sz w:val="24"/>
          <w:szCs w:val="24"/>
        </w:rPr>
      </w:pPr>
      <w:r>
        <w:rPr>
          <w:rFonts w:hint="eastAsia" w:ascii="宋体" w:hAnsi="宋体"/>
          <w:b/>
          <w:sz w:val="24"/>
          <w:szCs w:val="24"/>
        </w:rPr>
        <w:t>2. 成交供应商如未按规定交纳履约保证金，保卫处有权单方取消合同。</w:t>
      </w:r>
    </w:p>
    <w:p>
      <w:pPr>
        <w:spacing w:line="360" w:lineRule="auto"/>
        <w:ind w:firstLine="468" w:firstLineChars="195"/>
        <w:rPr>
          <w:rFonts w:ascii="宋体" w:hAnsi="宋体"/>
          <w:sz w:val="24"/>
          <w:szCs w:val="24"/>
        </w:rPr>
      </w:pPr>
      <w:r>
        <w:rPr>
          <w:rFonts w:hint="eastAsia" w:ascii="宋体" w:hAnsi="宋体"/>
          <w:sz w:val="24"/>
          <w:szCs w:val="24"/>
        </w:rPr>
        <w:t>3.</w:t>
      </w:r>
      <w:r>
        <w:rPr>
          <w:rFonts w:ascii="宋体" w:hAnsi="宋体"/>
          <w:sz w:val="24"/>
          <w:szCs w:val="24"/>
        </w:rPr>
        <w:t>签订合同后，如</w:t>
      </w:r>
      <w:r>
        <w:rPr>
          <w:rFonts w:hint="eastAsia" w:ascii="宋体" w:hAnsi="宋体"/>
          <w:sz w:val="24"/>
          <w:szCs w:val="24"/>
        </w:rPr>
        <w:t>成交供应商</w:t>
      </w:r>
      <w:r>
        <w:rPr>
          <w:rFonts w:ascii="宋体" w:hAnsi="宋体"/>
          <w:sz w:val="24"/>
          <w:szCs w:val="24"/>
        </w:rPr>
        <w:t>不按双方签订合同约定履约，则没收其全部</w:t>
      </w:r>
      <w:r>
        <w:rPr>
          <w:rFonts w:hint="eastAsia" w:ascii="宋体" w:hAnsi="宋体"/>
          <w:sz w:val="24"/>
          <w:szCs w:val="24"/>
        </w:rPr>
        <w:t>履约保证金</w:t>
      </w:r>
      <w:r>
        <w:rPr>
          <w:rFonts w:ascii="宋体" w:hAnsi="宋体"/>
          <w:sz w:val="24"/>
          <w:szCs w:val="24"/>
        </w:rPr>
        <w:t>，并按合同约定承担违约责任。</w:t>
      </w:r>
    </w:p>
    <w:p>
      <w:pPr>
        <w:tabs>
          <w:tab w:val="left" w:pos="2040"/>
        </w:tabs>
        <w:spacing w:line="360" w:lineRule="auto"/>
        <w:rPr>
          <w:rFonts w:ascii="宋体" w:hAnsi="宋体"/>
          <w:b/>
          <w:sz w:val="24"/>
          <w:szCs w:val="24"/>
        </w:rPr>
      </w:pPr>
      <w:r>
        <w:rPr>
          <w:rFonts w:hint="eastAsia" w:ascii="宋体" w:hAnsi="宋体"/>
          <w:b/>
          <w:sz w:val="24"/>
          <w:szCs w:val="24"/>
        </w:rPr>
        <w:t>七、其他</w:t>
      </w:r>
    </w:p>
    <w:p>
      <w:pPr>
        <w:tabs>
          <w:tab w:val="left" w:pos="2040"/>
        </w:tabs>
        <w:spacing w:line="360" w:lineRule="auto"/>
        <w:ind w:firstLine="470" w:firstLineChars="196"/>
        <w:rPr>
          <w:rFonts w:ascii="宋体" w:hAnsi="宋体"/>
          <w:b/>
          <w:sz w:val="24"/>
          <w:szCs w:val="24"/>
        </w:rPr>
      </w:pPr>
      <w:r>
        <w:rPr>
          <w:rFonts w:hint="eastAsia" w:ascii="宋体" w:hAnsi="宋体"/>
          <w:sz w:val="24"/>
          <w:szCs w:val="24"/>
        </w:rPr>
        <w:t>成交供应商在项目运营过程中产生的任何自身问题与损失，由成交供应商自行承担。</w:t>
      </w:r>
    </w:p>
    <w:p>
      <w:pPr>
        <w:spacing w:line="360" w:lineRule="auto"/>
        <w:ind w:firstLine="360" w:firstLineChars="150"/>
        <w:rPr>
          <w:rFonts w:ascii="宋体" w:hAnsi="宋体"/>
          <w:sz w:val="24"/>
          <w:szCs w:val="24"/>
        </w:rPr>
      </w:pPr>
    </w:p>
    <w:p>
      <w:pPr>
        <w:spacing w:line="360" w:lineRule="auto"/>
        <w:rPr>
          <w:rFonts w:ascii="宋体" w:hAnsi="宋体"/>
          <w:b/>
          <w:sz w:val="24"/>
          <w:szCs w:val="24"/>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ind w:firstLine="654" w:firstLineChars="217"/>
        <w:jc w:val="center"/>
        <w:rPr>
          <w:rFonts w:ascii="宋体" w:hAnsi="宋体"/>
          <w:b/>
          <w:sz w:val="30"/>
          <w:szCs w:val="30"/>
        </w:rPr>
      </w:pPr>
      <w:r>
        <w:rPr>
          <w:rFonts w:ascii="宋体" w:hAnsi="宋体"/>
          <w:b/>
          <w:sz w:val="30"/>
          <w:szCs w:val="30"/>
        </w:rPr>
        <w:br w:type="page"/>
      </w:r>
    </w:p>
    <w:p>
      <w:pPr>
        <w:spacing w:line="360" w:lineRule="auto"/>
        <w:ind w:firstLine="654" w:firstLineChars="217"/>
        <w:jc w:val="center"/>
        <w:rPr>
          <w:rFonts w:ascii="宋体" w:hAnsi="宋体"/>
          <w:b/>
          <w:sz w:val="30"/>
          <w:szCs w:val="30"/>
        </w:rPr>
      </w:pPr>
      <w:r>
        <w:rPr>
          <w:rFonts w:hint="eastAsia" w:ascii="宋体" w:hAnsi="宋体"/>
          <w:b/>
          <w:sz w:val="30"/>
          <w:szCs w:val="30"/>
        </w:rPr>
        <w:t>第三章 项目采购需求</w:t>
      </w:r>
    </w:p>
    <w:p>
      <w:pPr>
        <w:spacing w:beforeLines="50" w:afterLines="50"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一、项目简介</w:t>
      </w:r>
    </w:p>
    <w:p>
      <w:pPr>
        <w:snapToGrid w:val="0"/>
        <w:spacing w:line="360" w:lineRule="auto"/>
        <w:ind w:firstLine="480" w:firstLineChars="200"/>
        <w:jc w:val="left"/>
        <w:rPr>
          <w:rFonts w:ascii="宋体" w:hAnsi="宋体"/>
          <w:sz w:val="24"/>
          <w:szCs w:val="24"/>
          <w:u w:val="single"/>
        </w:rPr>
      </w:pPr>
      <w:r>
        <w:rPr>
          <w:rFonts w:hint="eastAsia" w:ascii="仿宋_GB2312" w:hAnsi="宋体"/>
          <w:sz w:val="24"/>
          <w:szCs w:val="24"/>
        </w:rPr>
        <w:t>为了加强美丽校园建设，我校将对校内共享电动车进行管理，结合学校实际情况，引进第三方进行共享电动车的运营管理，以改善校内停车乱、充电乱、安全隐患大等各类停车问题。经研究决定，通过竞争性磋商方式引进1家共享电动车</w:t>
      </w:r>
      <w:r>
        <w:rPr>
          <w:rFonts w:hint="eastAsia" w:ascii="宋体" w:hAnsi="宋体"/>
          <w:sz w:val="24"/>
          <w:szCs w:val="24"/>
        </w:rPr>
        <w:t>供应商投资并负责运营、管理及维护，所有设备、车辆产权属于供应商</w:t>
      </w:r>
      <w:r>
        <w:rPr>
          <w:rFonts w:hint="eastAsia" w:ascii="仿宋_GB2312" w:hAnsi="宋体"/>
          <w:sz w:val="24"/>
          <w:szCs w:val="24"/>
        </w:rPr>
        <w:t>，并配备相应的人员负责管理和运营校内业务。</w:t>
      </w:r>
    </w:p>
    <w:p>
      <w:pPr>
        <w:spacing w:beforeLines="50" w:afterLines="50"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二、项目准入要求：</w:t>
      </w:r>
    </w:p>
    <w:p>
      <w:pPr>
        <w:snapToGrid w:val="0"/>
        <w:spacing w:line="360" w:lineRule="auto"/>
        <w:ind w:firstLine="480" w:firstLineChars="200"/>
        <w:jc w:val="left"/>
        <w:rPr>
          <w:rFonts w:ascii="宋体" w:hAnsi="宋体"/>
          <w:sz w:val="24"/>
          <w:szCs w:val="24"/>
        </w:rPr>
      </w:pPr>
      <w:r>
        <w:rPr>
          <w:rFonts w:hint="eastAsia" w:ascii="宋体" w:hAnsi="宋体"/>
          <w:sz w:val="24"/>
          <w:szCs w:val="24"/>
        </w:rPr>
        <w:t>（1）按照不低于车辆投放数量百分之一的比例配备运维人员，配备一定数量的运输调度车辆。</w:t>
      </w:r>
    </w:p>
    <w:p>
      <w:pPr>
        <w:snapToGrid w:val="0"/>
        <w:spacing w:line="360" w:lineRule="auto"/>
        <w:ind w:firstLine="480" w:firstLineChars="200"/>
        <w:jc w:val="left"/>
        <w:rPr>
          <w:rFonts w:ascii="宋体" w:hAnsi="宋体"/>
          <w:sz w:val="24"/>
          <w:szCs w:val="24"/>
        </w:rPr>
      </w:pPr>
      <w:r>
        <w:rPr>
          <w:rFonts w:hint="eastAsia" w:ascii="宋体" w:hAnsi="宋体"/>
          <w:sz w:val="24"/>
          <w:szCs w:val="24"/>
        </w:rPr>
        <w:t>（2）利用固定设施及电子围栏，实行定点精准有序停放，运用固定设施＋精准电子围栏建设不少于20个停放点位。对不宜停放的区域，也要设置禁停电子围栏</w:t>
      </w:r>
      <w:r>
        <w:rPr>
          <w:rFonts w:hint="eastAsia" w:ascii="宋体" w:hAnsi="宋体"/>
          <w:sz w:val="24"/>
          <w:szCs w:val="24"/>
          <w:lang w:eastAsia="zh-CN"/>
        </w:rPr>
        <w:t>，</w:t>
      </w:r>
      <w:r>
        <w:rPr>
          <w:rFonts w:hint="eastAsia" w:ascii="宋体" w:hAnsi="宋体"/>
          <w:sz w:val="24"/>
          <w:szCs w:val="24"/>
          <w:lang w:val="en-US" w:eastAsia="zh-CN"/>
        </w:rPr>
        <w:t>在</w:t>
      </w:r>
      <w:r>
        <w:rPr>
          <w:rFonts w:hint="eastAsia" w:ascii="宋体" w:hAnsi="宋体"/>
          <w:sz w:val="24"/>
          <w:szCs w:val="24"/>
        </w:rPr>
        <w:t>签定正式合同</w:t>
      </w:r>
      <w:r>
        <w:rPr>
          <w:rFonts w:hint="eastAsia" w:ascii="宋体" w:hAnsi="宋体"/>
          <w:sz w:val="24"/>
          <w:szCs w:val="24"/>
          <w:lang w:val="en-US" w:eastAsia="zh-CN"/>
        </w:rPr>
        <w:t>起7日内</w:t>
      </w:r>
      <w:r>
        <w:rPr>
          <w:rFonts w:hint="eastAsia" w:ascii="宋体" w:hAnsi="宋体"/>
          <w:sz w:val="24"/>
          <w:szCs w:val="24"/>
        </w:rPr>
        <w:t>完成项目建设、车辆配备，并开始正常运行。</w:t>
      </w:r>
    </w:p>
    <w:p>
      <w:pPr>
        <w:snapToGrid w:val="0"/>
        <w:spacing w:line="360" w:lineRule="auto"/>
        <w:ind w:firstLine="480" w:firstLineChars="200"/>
        <w:jc w:val="left"/>
        <w:rPr>
          <w:rFonts w:ascii="宋体" w:hAnsi="宋体"/>
          <w:sz w:val="24"/>
          <w:szCs w:val="24"/>
        </w:rPr>
      </w:pPr>
      <w:r>
        <w:rPr>
          <w:rFonts w:hint="eastAsia" w:ascii="宋体" w:hAnsi="宋体"/>
          <w:sz w:val="24"/>
          <w:szCs w:val="24"/>
        </w:rPr>
        <w:t>（3）投放的车辆必须是新车，符合国家技术标准和行业技术标准的规定，提供相关检测报告；具备卫星定位和互联网运行服务管理功能。</w:t>
      </w:r>
    </w:p>
    <w:p>
      <w:pPr>
        <w:snapToGrid w:val="0"/>
        <w:spacing w:line="360" w:lineRule="auto"/>
        <w:ind w:firstLine="480" w:firstLineChars="200"/>
        <w:jc w:val="left"/>
        <w:rPr>
          <w:rFonts w:ascii="宋体" w:hAnsi="宋体"/>
          <w:sz w:val="24"/>
          <w:szCs w:val="24"/>
        </w:rPr>
      </w:pPr>
      <w:r>
        <w:rPr>
          <w:rFonts w:hint="eastAsia" w:ascii="宋体" w:hAnsi="宋体"/>
          <w:sz w:val="24"/>
          <w:szCs w:val="24"/>
        </w:rPr>
        <w:t>（4）投放的车辆依法办理登记上牌手续。</w:t>
      </w:r>
    </w:p>
    <w:p>
      <w:pPr>
        <w:snapToGrid w:val="0"/>
        <w:spacing w:line="360" w:lineRule="auto"/>
        <w:ind w:firstLine="480" w:firstLineChars="200"/>
        <w:jc w:val="left"/>
        <w:rPr>
          <w:rFonts w:ascii="宋体" w:hAnsi="宋体"/>
          <w:sz w:val="24"/>
          <w:szCs w:val="24"/>
        </w:rPr>
      </w:pPr>
      <w:r>
        <w:rPr>
          <w:rFonts w:hint="eastAsia" w:ascii="宋体" w:hAnsi="宋体"/>
          <w:sz w:val="24"/>
          <w:szCs w:val="24"/>
        </w:rPr>
        <w:t>（5）对接学校智慧平台，实现相关数据共享，精确掌握校园车辆状态。</w:t>
      </w:r>
    </w:p>
    <w:p>
      <w:pPr>
        <w:spacing w:beforeLines="50" w:afterLines="50"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三、项目运营相关规定：</w:t>
      </w:r>
    </w:p>
    <w:p>
      <w:pPr>
        <w:snapToGrid w:val="0"/>
        <w:spacing w:line="360" w:lineRule="auto"/>
        <w:ind w:firstLine="480" w:firstLineChars="200"/>
        <w:jc w:val="left"/>
        <w:rPr>
          <w:rFonts w:ascii="宋体" w:hAnsi="宋体"/>
          <w:sz w:val="24"/>
          <w:szCs w:val="24"/>
        </w:rPr>
      </w:pPr>
      <w:r>
        <w:rPr>
          <w:rFonts w:hint="eastAsia" w:ascii="宋体" w:hAnsi="宋体"/>
          <w:sz w:val="24"/>
          <w:szCs w:val="24"/>
        </w:rPr>
        <w:t>（1）合作模式：采用校企合作的模式，由供应商全额承担投资，学校提供场地和资源，实现资源共享、优势互补,共同发展。</w:t>
      </w:r>
    </w:p>
    <w:p>
      <w:pPr>
        <w:spacing w:line="360" w:lineRule="auto"/>
        <w:ind w:firstLine="480" w:firstLineChars="200"/>
        <w:jc w:val="left"/>
        <w:rPr>
          <w:rFonts w:ascii="宋体" w:hAnsi="宋体"/>
          <w:color w:val="auto"/>
          <w:sz w:val="24"/>
          <w:szCs w:val="24"/>
          <w:u w:val="single"/>
        </w:rPr>
      </w:pPr>
      <w:r>
        <w:rPr>
          <w:rFonts w:hint="eastAsia" w:ascii="宋体" w:hAnsi="宋体"/>
          <w:sz w:val="24"/>
          <w:szCs w:val="24"/>
        </w:rPr>
        <w:t>（2）合作时间</w:t>
      </w:r>
      <w:r>
        <w:rPr>
          <w:rFonts w:hint="eastAsia" w:ascii="宋体" w:hAnsi="宋体"/>
          <w:color w:val="auto"/>
          <w:sz w:val="24"/>
          <w:szCs w:val="24"/>
        </w:rPr>
        <w:t>：项目运营合作时间为</w:t>
      </w:r>
      <w:r>
        <w:rPr>
          <w:rFonts w:hint="eastAsia" w:ascii="宋体" w:hAnsi="宋体"/>
          <w:color w:val="auto"/>
          <w:sz w:val="24"/>
          <w:szCs w:val="24"/>
          <w:lang w:val="en-US" w:eastAsia="zh-CN"/>
        </w:rPr>
        <w:t>两</w:t>
      </w:r>
      <w:r>
        <w:rPr>
          <w:rFonts w:hint="eastAsia" w:ascii="宋体" w:hAnsi="宋体"/>
          <w:color w:val="auto"/>
          <w:sz w:val="24"/>
          <w:szCs w:val="24"/>
        </w:rPr>
        <w:t>年</w:t>
      </w:r>
      <w:r>
        <w:rPr>
          <w:rFonts w:hint="eastAsia" w:ascii="宋体" w:hAnsi="宋体"/>
          <w:color w:val="auto"/>
          <w:sz w:val="24"/>
          <w:szCs w:val="24"/>
          <w:lang w:eastAsia="zh-CN"/>
        </w:rPr>
        <w:t>，</w:t>
      </w:r>
      <w:r>
        <w:rPr>
          <w:rFonts w:hint="eastAsia" w:ascii="宋体" w:hAnsi="宋体"/>
          <w:color w:val="auto"/>
          <w:sz w:val="24"/>
          <w:szCs w:val="24"/>
        </w:rPr>
        <w:t>合同</w:t>
      </w:r>
      <w:r>
        <w:rPr>
          <w:rFonts w:hint="eastAsia" w:ascii="宋体" w:hAnsi="宋体"/>
          <w:color w:val="auto"/>
          <w:sz w:val="24"/>
          <w:szCs w:val="24"/>
          <w:lang w:val="en-US" w:eastAsia="zh-CN"/>
        </w:rPr>
        <w:t>为一年一签，每年</w:t>
      </w:r>
      <w:r>
        <w:rPr>
          <w:rFonts w:hint="eastAsia" w:ascii="宋体" w:hAnsi="宋体"/>
          <w:color w:val="auto"/>
          <w:sz w:val="24"/>
          <w:szCs w:val="24"/>
        </w:rPr>
        <w:t>考核合格</w:t>
      </w:r>
      <w:r>
        <w:rPr>
          <w:rFonts w:hint="eastAsia" w:ascii="宋体" w:hAnsi="宋体"/>
          <w:color w:val="auto"/>
          <w:sz w:val="24"/>
          <w:szCs w:val="24"/>
          <w:lang w:val="en-US" w:eastAsia="zh-CN"/>
        </w:rPr>
        <w:t>续签下一年合同</w:t>
      </w:r>
      <w:r>
        <w:rPr>
          <w:rFonts w:hint="eastAsia" w:ascii="宋体" w:hAnsi="宋体"/>
          <w:color w:val="auto"/>
          <w:sz w:val="24"/>
          <w:szCs w:val="24"/>
        </w:rPr>
        <w:t>，</w:t>
      </w:r>
      <w:r>
        <w:rPr>
          <w:rFonts w:hint="eastAsia" w:ascii="宋体" w:hAnsi="宋体"/>
          <w:color w:val="auto"/>
          <w:sz w:val="24"/>
          <w:szCs w:val="24"/>
          <w:lang w:val="en-US" w:eastAsia="zh-CN"/>
        </w:rPr>
        <w:t>否则将终止续签。</w:t>
      </w:r>
    </w:p>
    <w:p>
      <w:pPr>
        <w:snapToGrid w:val="0"/>
        <w:spacing w:line="360" w:lineRule="auto"/>
        <w:ind w:firstLine="480" w:firstLineChars="200"/>
        <w:jc w:val="left"/>
        <w:rPr>
          <w:rFonts w:ascii="宋体" w:hAnsi="宋体"/>
          <w:sz w:val="24"/>
          <w:szCs w:val="24"/>
        </w:rPr>
      </w:pPr>
      <w:r>
        <w:rPr>
          <w:rFonts w:hint="eastAsia" w:ascii="宋体" w:hAnsi="宋体"/>
          <w:sz w:val="24"/>
          <w:szCs w:val="24"/>
        </w:rPr>
        <w:t>（3）建设安排：</w:t>
      </w:r>
      <w:r>
        <w:rPr>
          <w:rFonts w:hint="eastAsia" w:ascii="宋体" w:hAnsi="宋体"/>
          <w:sz w:val="24"/>
          <w:szCs w:val="24"/>
          <w:lang w:val="en-US" w:eastAsia="zh-CN"/>
        </w:rPr>
        <w:t>先期</w:t>
      </w:r>
      <w:r>
        <w:rPr>
          <w:rFonts w:hint="eastAsia" w:ascii="宋体" w:hAnsi="宋体"/>
          <w:sz w:val="24"/>
          <w:szCs w:val="24"/>
        </w:rPr>
        <w:t>投放</w:t>
      </w:r>
      <w:r>
        <w:rPr>
          <w:rFonts w:hint="eastAsia" w:ascii="宋体" w:hAnsi="宋体"/>
          <w:sz w:val="24"/>
          <w:szCs w:val="24"/>
          <w:lang w:val="en-US" w:eastAsia="zh-CN"/>
        </w:rPr>
        <w:t>300</w:t>
      </w:r>
      <w:r>
        <w:rPr>
          <w:rFonts w:hint="eastAsia" w:ascii="宋体" w:hAnsi="宋体"/>
          <w:sz w:val="24"/>
          <w:szCs w:val="24"/>
        </w:rPr>
        <w:t>辆电动车。在确保稳定运行及管理的情况下，后续根据需求投放，如成交供应商车辆投放数量不能满足校园需求，经双方协商后，供应商仍无法满足需求的，学校有权引入其他合作单位。</w:t>
      </w:r>
    </w:p>
    <w:p>
      <w:pPr>
        <w:numPr>
          <w:ilvl w:val="0"/>
          <w:numId w:val="4"/>
        </w:numPr>
        <w:snapToGrid w:val="0"/>
        <w:spacing w:line="360" w:lineRule="auto"/>
        <w:ind w:firstLine="480" w:firstLineChars="200"/>
        <w:jc w:val="left"/>
        <w:rPr>
          <w:rFonts w:ascii="宋体" w:hAnsi="宋体"/>
          <w:sz w:val="24"/>
          <w:szCs w:val="24"/>
        </w:rPr>
      </w:pPr>
      <w:r>
        <w:rPr>
          <w:rFonts w:hint="eastAsia" w:ascii="宋体" w:hAnsi="宋体"/>
          <w:sz w:val="24"/>
          <w:szCs w:val="24"/>
        </w:rPr>
        <w:t>合作要求：供应商负责电动单车安全性，负责上路核准、换电、车辆保险、安全检测等各个环节，严格按照学校保卫处要求划定</w:t>
      </w:r>
      <w:r>
        <w:rPr>
          <w:rFonts w:hint="eastAsia" w:cs="宋体"/>
          <w:sz w:val="24"/>
          <w:szCs w:val="24"/>
        </w:rPr>
        <w:t>校园</w:t>
      </w:r>
      <w:r>
        <w:rPr>
          <w:rFonts w:hint="eastAsia" w:ascii="宋体" w:hAnsi="宋体"/>
          <w:sz w:val="24"/>
          <w:szCs w:val="24"/>
        </w:rPr>
        <w:t>停车区域，设立站牌站点，区域内画线，固定设施及电子围栏等事宜，所需费用由供应商承担。</w:t>
      </w:r>
    </w:p>
    <w:p>
      <w:pPr>
        <w:spacing w:beforeLines="50" w:afterLines="50"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四、项目运营服务要求:</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1）应当对用户利用网络进行实名制注册登记并签订服务协议，明确双方权利义务，指导、督促用户履行安全文明骑行、规范车辆停放等义务，建立健全注册用户使用车辆信用积分制度，将多次违规违约的用户列入黑名单，并限制其使用。</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（2）仅限16-65周岁实名注册用车、租赁单车服务。</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（3）应当遵照符合规定的计费方式和收费标准，在经营活动中不得实施不正当竞争行为，不得侵害用户合法权益和社会公共利益，做到守法经营、公平竞争。</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（4）应当购买人身意外险、第三者责任险等保险，将事故赔偿机制、流程、标准等向师生公示，保卫处备案。企业依法履行安全生产主体责任。</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（5）应当公布服务质量承诺，公开服务监督电话，建立用户及师生投诉处理制度，及时处理投诉。</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（6）应当做好共享电动车调度和停放秩序管理工作，对乱停放情况实施实时监控并在30分钟内清理；落实应急保障措施；定期对车辆进行保洁、维修，提升师生骑行体验感和满意度。</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（7）应当定期自行检测车辆，及时撤回不符合国家标准、行业标准和影响人体健康、人身财产安全的车辆。供应商在补充车辆时，应提前10日向保卫处报备，经同意后，方可投放。</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（8）供应商采集信息不得侵害用户合法权益和社会公共利益，不得超越提供共享单车服务所必需的范围；在境内运营中采集的信息和生成的相关数据应当在中国大陆境内存储，并保证该信息安全和保密。</w:t>
      </w:r>
    </w:p>
    <w:p>
      <w:pPr>
        <w:snapToGrid w:val="0"/>
        <w:spacing w:line="360" w:lineRule="auto"/>
        <w:ind w:firstLine="360" w:firstLineChars="150"/>
        <w:jc w:val="left"/>
        <w:rPr>
          <w:rFonts w:ascii="宋体" w:hAnsi="宋体" w:cs="宋体"/>
          <w:sz w:val="24"/>
          <w:szCs w:val="24"/>
        </w:rPr>
      </w:pPr>
      <w:r>
        <w:rPr>
          <w:rFonts w:hint="eastAsia" w:ascii="宋体" w:hAnsi="宋体" w:cs="宋体"/>
          <w:sz w:val="24"/>
          <w:szCs w:val="24"/>
        </w:rPr>
        <w:t>（9）积极做好宣传工作，引导师生规范用车。</w:t>
      </w:r>
    </w:p>
    <w:p>
      <w:pPr>
        <w:pStyle w:val="9"/>
        <w:spacing w:line="360" w:lineRule="auto"/>
        <w:ind w:left="0" w:leftChars="0" w:firstLine="360" w:firstLineChars="150"/>
        <w:rPr>
          <w:rFonts w:ascii="宋体" w:hAnsi="宋体" w:cs="宋体"/>
          <w:sz w:val="24"/>
          <w:szCs w:val="24"/>
          <w:u w:val="single"/>
        </w:rPr>
      </w:pPr>
      <w:r>
        <w:rPr>
          <w:rFonts w:hint="eastAsia" w:ascii="宋体" w:hAnsi="宋体" w:cs="宋体"/>
          <w:sz w:val="24"/>
          <w:szCs w:val="24"/>
        </w:rPr>
        <w:t>（10）</w:t>
      </w:r>
      <w:r>
        <w:rPr>
          <w:rFonts w:hint="eastAsia" w:cs="宋体"/>
          <w:b/>
          <w:spacing w:val="-6"/>
          <w:sz w:val="24"/>
          <w:szCs w:val="24"/>
          <w:u w:val="single"/>
        </w:rPr>
        <w:t>▲</w:t>
      </w:r>
      <w:r>
        <w:rPr>
          <w:rFonts w:hint="eastAsia" w:ascii="宋体" w:hAnsi="宋体" w:cs="宋体"/>
          <w:sz w:val="24"/>
          <w:szCs w:val="24"/>
          <w:u w:val="single"/>
        </w:rPr>
        <w:t>供应商合同到期或需终止在校园共享单车经营服务的，应提前30日向招标方提出书面报告，并依规在规定期限内退还用户有关款项，完成所有投放车辆的回收等工作，相关配套设施归校方使用。如供应商不能在规定时间内做好清理工作，校方依规统一处理。</w:t>
      </w:r>
    </w:p>
    <w:p>
      <w:pPr>
        <w:pStyle w:val="9"/>
        <w:spacing w:line="360" w:lineRule="auto"/>
        <w:ind w:left="0" w:leftChars="0" w:firstLine="360" w:firstLineChars="150"/>
        <w:rPr>
          <w:rFonts w:cs="宋体"/>
          <w:sz w:val="24"/>
          <w:szCs w:val="24"/>
        </w:rPr>
      </w:pPr>
      <w:r>
        <w:rPr>
          <w:rFonts w:hint="eastAsia" w:cs="宋体"/>
          <w:sz w:val="24"/>
          <w:szCs w:val="24"/>
        </w:rPr>
        <w:t>（</w:t>
      </w:r>
      <w:r>
        <w:rPr>
          <w:rFonts w:hint="eastAsia" w:ascii="宋体" w:hAnsi="宋体" w:cs="宋体"/>
          <w:sz w:val="24"/>
          <w:szCs w:val="24"/>
        </w:rPr>
        <w:t>11）</w:t>
      </w:r>
      <w:r>
        <w:rPr>
          <w:rFonts w:hint="eastAsia" w:cs="宋体"/>
          <w:b/>
          <w:spacing w:val="-6"/>
          <w:sz w:val="24"/>
          <w:szCs w:val="24"/>
          <w:u w:val="single"/>
        </w:rPr>
        <w:t>▲</w:t>
      </w:r>
      <w:r>
        <w:rPr>
          <w:rFonts w:hint="eastAsia" w:cs="宋体"/>
          <w:sz w:val="24"/>
          <w:szCs w:val="24"/>
          <w:u w:val="single"/>
        </w:rPr>
        <w:t>项目运行中出现安全事故等问题，由供应商</w:t>
      </w:r>
      <w:r>
        <w:rPr>
          <w:rFonts w:hint="eastAsia" w:ascii="宋体" w:hAnsi="宋体" w:cs="宋体"/>
          <w:sz w:val="24"/>
          <w:szCs w:val="24"/>
          <w:u w:val="single"/>
        </w:rPr>
        <w:t>配备理赔专员，优先考虑师生权益承</w:t>
      </w:r>
      <w:r>
        <w:rPr>
          <w:rFonts w:hint="eastAsia" w:cs="宋体"/>
          <w:sz w:val="24"/>
          <w:szCs w:val="24"/>
          <w:u w:val="single"/>
        </w:rPr>
        <w:t>担相应责任。</w:t>
      </w:r>
    </w:p>
    <w:p>
      <w:pPr>
        <w:spacing w:line="360" w:lineRule="auto"/>
        <w:ind w:firstLine="360" w:firstLineChars="150"/>
        <w:jc w:val="left"/>
        <w:rPr>
          <w:rFonts w:ascii="宋体" w:hAnsi="宋体" w:cs="宋体"/>
          <w:sz w:val="24"/>
          <w:szCs w:val="24"/>
          <w:u w:val="single"/>
        </w:rPr>
      </w:pPr>
      <w:r>
        <w:rPr>
          <w:rFonts w:hint="eastAsia" w:ascii="宋体" w:hAnsi="宋体" w:cs="宋体"/>
          <w:sz w:val="24"/>
          <w:szCs w:val="24"/>
        </w:rPr>
        <w:t>（12）</w:t>
      </w:r>
      <w:r>
        <w:rPr>
          <w:rFonts w:hint="eastAsia" w:ascii="宋体" w:hAnsi="宋体" w:cs="宋体"/>
          <w:b/>
          <w:spacing w:val="-6"/>
          <w:sz w:val="24"/>
          <w:szCs w:val="24"/>
          <w:u w:val="single"/>
        </w:rPr>
        <w:t>▲</w:t>
      </w:r>
      <w:r>
        <w:rPr>
          <w:rFonts w:hint="eastAsia" w:ascii="宋体" w:hAnsi="宋体" w:cs="宋体"/>
          <w:sz w:val="24"/>
          <w:szCs w:val="24"/>
          <w:u w:val="single"/>
        </w:rPr>
        <w:t>如项目在运行管理中因收费、安全等问题接到师生多次投诉，给校园秩序、师生学习生活造成不良影响，受到校方5次及以上约谈警告拒不整改，情节恶劣的，甲方有权解除合同。</w:t>
      </w:r>
    </w:p>
    <w:p>
      <w:pPr>
        <w:snapToGrid w:val="0"/>
        <w:spacing w:line="360" w:lineRule="auto"/>
        <w:ind w:firstLine="360" w:firstLineChars="150"/>
        <w:jc w:val="left"/>
        <w:rPr>
          <w:rFonts w:ascii="宋体" w:hAnsi="宋体" w:cs="宋体"/>
          <w:b/>
          <w:spacing w:val="-6"/>
          <w:sz w:val="24"/>
          <w:szCs w:val="24"/>
        </w:rPr>
      </w:pPr>
      <w:r>
        <w:rPr>
          <w:rFonts w:hint="eastAsia" w:ascii="宋体" w:hAnsi="宋体" w:cs="宋体"/>
          <w:sz w:val="24"/>
          <w:szCs w:val="24"/>
        </w:rPr>
        <w:t>（13）应当自觉遵守相关的法律法规规定。</w:t>
      </w:r>
    </w:p>
    <w:p>
      <w:pPr>
        <w:spacing w:beforeLines="50" w:afterLines="50"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五、其他</w:t>
      </w:r>
    </w:p>
    <w:p>
      <w:pPr>
        <w:spacing w:line="360" w:lineRule="auto"/>
        <w:ind w:firstLine="568" w:firstLineChars="248"/>
        <w:rPr>
          <w:rFonts w:ascii="宋体" w:hAnsi="宋体" w:cs="宋体"/>
          <w:b/>
          <w:spacing w:val="-6"/>
          <w:sz w:val="24"/>
          <w:szCs w:val="24"/>
          <w:highlight w:val="yellow"/>
        </w:rPr>
      </w:pPr>
      <w:r>
        <w:rPr>
          <w:rFonts w:hint="eastAsia" w:ascii="宋体" w:hAnsi="宋体" w:cs="宋体"/>
          <w:b/>
          <w:spacing w:val="-6"/>
          <w:sz w:val="24"/>
          <w:szCs w:val="24"/>
        </w:rPr>
        <w:t>1、标“▲且加下划线”的有关技术和商务要求为实质性条款，响应方必须做出实质性响应</w:t>
      </w:r>
      <w:r>
        <w:rPr>
          <w:rFonts w:hint="eastAsia" w:ascii="宋体" w:hAnsi="宋体" w:cs="宋体"/>
          <w:b/>
          <w:bCs/>
          <w:spacing w:val="-6"/>
          <w:sz w:val="24"/>
          <w:szCs w:val="24"/>
        </w:rPr>
        <w:t>，否则视为无效响应文件。</w:t>
      </w:r>
      <w:r>
        <w:rPr>
          <w:rFonts w:hint="eastAsia" w:ascii="宋体" w:hAnsi="宋体" w:cs="宋体"/>
          <w:b/>
          <w:spacing w:val="-6"/>
          <w:sz w:val="24"/>
          <w:szCs w:val="24"/>
        </w:rPr>
        <w:t>除此之外其余的指标、服务要求以及合同条款可在磋商现场，根据磋商小组与供应商的磋商进行变动。</w:t>
      </w:r>
    </w:p>
    <w:p>
      <w:pPr>
        <w:spacing w:line="360" w:lineRule="auto"/>
        <w:ind w:firstLine="570" w:firstLineChars="249"/>
        <w:rPr>
          <w:rFonts w:ascii="宋体" w:hAnsi="宋体" w:cs="宋体"/>
          <w:b/>
          <w:bCs/>
          <w:kern w:val="0"/>
          <w:sz w:val="24"/>
          <w:szCs w:val="24"/>
        </w:rPr>
      </w:pPr>
      <w:r>
        <w:rPr>
          <w:rFonts w:hint="eastAsia" w:ascii="宋体" w:hAnsi="宋体" w:cs="宋体"/>
          <w:b/>
          <w:spacing w:val="-6"/>
          <w:sz w:val="24"/>
          <w:szCs w:val="24"/>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4"/>
          <w:szCs w:val="24"/>
        </w:rPr>
        <w:t>。</w:t>
      </w:r>
    </w:p>
    <w:p>
      <w:pPr>
        <w:snapToGrid w:val="0"/>
        <w:spacing w:line="360" w:lineRule="auto"/>
        <w:ind w:firstLine="570" w:firstLineChars="249"/>
        <w:jc w:val="left"/>
        <w:rPr>
          <w:rFonts w:ascii="宋体" w:hAnsi="宋体" w:cs="宋体"/>
          <w:b/>
          <w:sz w:val="24"/>
          <w:szCs w:val="24"/>
        </w:rPr>
      </w:pPr>
      <w:r>
        <w:rPr>
          <w:rFonts w:hint="eastAsia" w:ascii="宋体" w:hAnsi="宋体" w:cs="宋体"/>
          <w:b/>
          <w:spacing w:val="-6"/>
          <w:sz w:val="24"/>
          <w:szCs w:val="24"/>
        </w:rPr>
        <w:t>3.如技术部分中未特别注明需执行的国家相关标准、行业标准、地方标准或者其他标准、规范，则统一执行最新标准、规范。</w:t>
      </w: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r>
        <w:rPr>
          <w:rFonts w:hint="eastAsia" w:ascii="宋体" w:hAnsi="宋体"/>
          <w:b/>
          <w:sz w:val="30"/>
          <w:szCs w:val="30"/>
        </w:rPr>
        <w:t>第四章  采购合同</w:t>
      </w:r>
    </w:p>
    <w:p>
      <w:pPr>
        <w:spacing w:line="360" w:lineRule="auto"/>
        <w:jc w:val="center"/>
        <w:rPr>
          <w:rFonts w:ascii="仿宋_GB2312" w:hAnsi="仿宋_GB2312" w:eastAsia="仿宋_GB2312" w:cs="仿宋_GB2312"/>
          <w:sz w:val="24"/>
          <w:szCs w:val="24"/>
        </w:rPr>
      </w:pPr>
      <w:r>
        <w:rPr>
          <w:rFonts w:hint="eastAsia" w:ascii="宋体" w:hAnsi="宋体"/>
          <w:b/>
          <w:sz w:val="30"/>
          <w:szCs w:val="30"/>
        </w:rPr>
        <w:t xml:space="preserve">                            </w:t>
      </w:r>
      <w:r>
        <w:rPr>
          <w:rFonts w:hint="eastAsia" w:ascii="宋体" w:hAnsi="宋体"/>
          <w:sz w:val="24"/>
          <w:szCs w:val="24"/>
        </w:rPr>
        <w:t>合同编号：</w:t>
      </w:r>
    </w:p>
    <w:p>
      <w:pPr>
        <w:spacing w:line="360" w:lineRule="auto"/>
        <w:rPr>
          <w:rFonts w:ascii="宋体" w:hAnsi="宋体"/>
          <w:sz w:val="24"/>
          <w:szCs w:val="24"/>
        </w:rPr>
      </w:pPr>
      <w:r>
        <w:rPr>
          <w:rFonts w:hint="eastAsia" w:ascii="宋体" w:hAnsi="宋体"/>
          <w:sz w:val="24"/>
          <w:szCs w:val="24"/>
        </w:rPr>
        <w:t>需方</w:t>
      </w:r>
      <w:r>
        <w:rPr>
          <w:rFonts w:ascii="宋体" w:hAnsi="宋体"/>
          <w:sz w:val="24"/>
          <w:szCs w:val="24"/>
        </w:rPr>
        <w:t>(</w:t>
      </w:r>
      <w:r>
        <w:rPr>
          <w:rFonts w:hint="eastAsia" w:ascii="宋体" w:hAnsi="宋体"/>
          <w:sz w:val="24"/>
          <w:szCs w:val="24"/>
        </w:rPr>
        <w:t>甲方</w:t>
      </w:r>
      <w:r>
        <w:rPr>
          <w:rFonts w:ascii="宋体" w:hAnsi="宋体"/>
          <w:sz w:val="24"/>
          <w:szCs w:val="24"/>
        </w:rPr>
        <w:t>)</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供方</w:t>
      </w:r>
      <w:r>
        <w:rPr>
          <w:rFonts w:ascii="宋体" w:hAnsi="宋体"/>
          <w:sz w:val="24"/>
          <w:szCs w:val="24"/>
        </w:rPr>
        <w:t>(</w:t>
      </w:r>
      <w:r>
        <w:rPr>
          <w:rFonts w:hint="eastAsia" w:ascii="宋体" w:hAnsi="宋体"/>
          <w:sz w:val="24"/>
          <w:szCs w:val="24"/>
        </w:rPr>
        <w:t>乙方</w:t>
      </w:r>
      <w:r>
        <w:rPr>
          <w:rFonts w:ascii="宋体" w:hAnsi="宋体"/>
          <w:sz w:val="24"/>
          <w:szCs w:val="24"/>
        </w:rPr>
        <w:t>)</w:t>
      </w:r>
      <w:r>
        <w:rPr>
          <w:rFonts w:hint="eastAsia" w:ascii="宋体" w:hAnsi="宋体"/>
          <w:sz w:val="24"/>
          <w:szCs w:val="24"/>
        </w:rPr>
        <w:t>：</w:t>
      </w:r>
    </w:p>
    <w:p>
      <w:pPr>
        <w:spacing w:line="360" w:lineRule="auto"/>
        <w:ind w:left="-2" w:leftChars="-1" w:firstLine="530" w:firstLineChars="221"/>
        <w:rPr>
          <w:rFonts w:ascii="宋体" w:hAnsi="宋体"/>
          <w:sz w:val="24"/>
          <w:szCs w:val="24"/>
        </w:rPr>
      </w:pPr>
      <w:r>
        <w:rPr>
          <w:rFonts w:hint="eastAsia" w:ascii="宋体" w:hAnsi="宋体"/>
          <w:sz w:val="24"/>
          <w:szCs w:val="24"/>
        </w:rPr>
        <w:t>根据《中华人民共和国政府采购法》、《中华人民共和</w:t>
      </w:r>
      <w:r>
        <w:rPr>
          <w:rFonts w:hint="eastAsia" w:ascii="宋体" w:hAnsi="宋体"/>
          <w:color w:val="000000" w:themeColor="text1"/>
          <w:sz w:val="24"/>
          <w:szCs w:val="24"/>
          <w14:textFill>
            <w14:solidFill>
              <w14:schemeClr w14:val="tx1"/>
            </w14:solidFill>
          </w14:textFill>
        </w:rPr>
        <w:t>国民法典》等有关法律</w:t>
      </w:r>
      <w:r>
        <w:rPr>
          <w:rFonts w:hint="eastAsia" w:ascii="宋体" w:hAnsi="宋体"/>
          <w:sz w:val="24"/>
          <w:szCs w:val="24"/>
        </w:rPr>
        <w:t>法规的规定，甲乙双方按照年月日丽水学院磋商号项目采购结果，经充分协商,同意就下列条款签订本合同。</w:t>
      </w:r>
    </w:p>
    <w:p>
      <w:pPr>
        <w:spacing w:line="360" w:lineRule="auto"/>
        <w:ind w:left="550" w:leftChars="200" w:hanging="130" w:hangingChars="54"/>
        <w:rPr>
          <w:rFonts w:ascii="宋体" w:hAnsi="宋体"/>
          <w:b/>
          <w:sz w:val="24"/>
          <w:szCs w:val="24"/>
        </w:rPr>
      </w:pPr>
      <w:r>
        <w:rPr>
          <w:rFonts w:hint="eastAsia" w:ascii="宋体" w:hAnsi="宋体"/>
          <w:b/>
          <w:sz w:val="24"/>
          <w:szCs w:val="24"/>
        </w:rPr>
        <w:t>第一条 合同标的</w:t>
      </w:r>
    </w:p>
    <w:p>
      <w:pPr>
        <w:spacing w:line="360" w:lineRule="auto"/>
        <w:ind w:left="549" w:leftChars="200" w:hanging="129" w:hangingChars="54"/>
        <w:rPr>
          <w:rFonts w:ascii="宋体" w:hAnsi="宋体"/>
          <w:sz w:val="24"/>
          <w:szCs w:val="24"/>
        </w:rPr>
      </w:pPr>
      <w:r>
        <w:rPr>
          <w:rFonts w:hint="eastAsia" w:ascii="宋体" w:hAnsi="宋体"/>
          <w:sz w:val="24"/>
          <w:szCs w:val="24"/>
        </w:rPr>
        <w:t>1．合同标的：公司的共享电动车进校运营许可。</w:t>
      </w:r>
    </w:p>
    <w:tbl>
      <w:tblPr>
        <w:tblStyle w:val="22"/>
        <w:tblW w:w="8941" w:type="dxa"/>
        <w:jc w:val="center"/>
        <w:tblLayout w:type="fixed"/>
        <w:tblCellMar>
          <w:top w:w="0" w:type="dxa"/>
          <w:left w:w="108" w:type="dxa"/>
          <w:bottom w:w="0" w:type="dxa"/>
          <w:right w:w="108" w:type="dxa"/>
        </w:tblCellMar>
      </w:tblPr>
      <w:tblGrid>
        <w:gridCol w:w="1656"/>
        <w:gridCol w:w="2159"/>
        <w:gridCol w:w="874"/>
        <w:gridCol w:w="818"/>
        <w:gridCol w:w="1699"/>
        <w:gridCol w:w="1735"/>
      </w:tblGrid>
      <w:tr>
        <w:tblPrEx>
          <w:tblCellMar>
            <w:top w:w="0" w:type="dxa"/>
            <w:left w:w="108" w:type="dxa"/>
            <w:bottom w:w="0" w:type="dxa"/>
            <w:right w:w="108" w:type="dxa"/>
          </w:tblCellMar>
        </w:tblPrEx>
        <w:trPr>
          <w:trHeight w:val="447" w:hRule="atLeast"/>
          <w:jc w:val="center"/>
        </w:trPr>
        <w:tc>
          <w:tcPr>
            <w:tcW w:w="1656"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b/>
                <w:sz w:val="24"/>
                <w:szCs w:val="24"/>
              </w:rPr>
            </w:pPr>
            <w:r>
              <w:rPr>
                <w:rFonts w:hint="eastAsia" w:ascii="宋体" w:hAnsi="宋体"/>
                <w:b/>
                <w:sz w:val="24"/>
                <w:szCs w:val="24"/>
              </w:rPr>
              <w:t>电动车品牌</w:t>
            </w:r>
          </w:p>
        </w:tc>
        <w:tc>
          <w:tcPr>
            <w:tcW w:w="2159" w:type="dxa"/>
            <w:tcBorders>
              <w:top w:val="single" w:color="auto" w:sz="8" w:space="0"/>
              <w:left w:val="nil"/>
              <w:bottom w:val="single" w:color="auto" w:sz="8" w:space="0"/>
              <w:right w:val="single" w:color="auto" w:sz="4" w:space="0"/>
            </w:tcBorders>
            <w:vAlign w:val="center"/>
          </w:tcPr>
          <w:p>
            <w:pPr>
              <w:widowControl/>
              <w:spacing w:line="360" w:lineRule="auto"/>
              <w:jc w:val="center"/>
              <w:rPr>
                <w:rFonts w:ascii="宋体" w:hAnsi="宋体"/>
                <w:b/>
                <w:sz w:val="24"/>
                <w:szCs w:val="24"/>
              </w:rPr>
            </w:pPr>
            <w:r>
              <w:rPr>
                <w:rFonts w:hint="eastAsia" w:ascii="宋体" w:hAnsi="宋体"/>
                <w:b/>
                <w:sz w:val="24"/>
                <w:szCs w:val="24"/>
              </w:rPr>
              <w:t>电动车规格型号、</w:t>
            </w:r>
          </w:p>
          <w:p>
            <w:pPr>
              <w:widowControl/>
              <w:spacing w:line="360" w:lineRule="auto"/>
              <w:jc w:val="center"/>
              <w:rPr>
                <w:rFonts w:ascii="宋体" w:hAnsi="宋体"/>
                <w:b/>
                <w:sz w:val="24"/>
                <w:szCs w:val="24"/>
              </w:rPr>
            </w:pPr>
            <w:r>
              <w:rPr>
                <w:rFonts w:hint="eastAsia" w:ascii="宋体" w:hAnsi="宋体"/>
                <w:b/>
                <w:sz w:val="24"/>
                <w:szCs w:val="24"/>
              </w:rPr>
              <w:t>生产厂家</w:t>
            </w:r>
          </w:p>
        </w:tc>
        <w:tc>
          <w:tcPr>
            <w:tcW w:w="874"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b/>
                <w:sz w:val="24"/>
                <w:szCs w:val="24"/>
              </w:rPr>
            </w:pPr>
            <w:r>
              <w:rPr>
                <w:rFonts w:hint="eastAsia" w:ascii="宋体" w:hAnsi="宋体"/>
                <w:b/>
                <w:sz w:val="24"/>
                <w:szCs w:val="24"/>
              </w:rPr>
              <w:t>单位</w:t>
            </w:r>
          </w:p>
        </w:tc>
        <w:tc>
          <w:tcPr>
            <w:tcW w:w="818"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b/>
                <w:sz w:val="24"/>
                <w:szCs w:val="24"/>
              </w:rPr>
            </w:pPr>
            <w:r>
              <w:rPr>
                <w:rFonts w:hint="eastAsia" w:ascii="宋体" w:hAnsi="宋体"/>
                <w:b/>
                <w:sz w:val="24"/>
                <w:szCs w:val="24"/>
              </w:rPr>
              <w:t>数量</w:t>
            </w:r>
          </w:p>
        </w:tc>
        <w:tc>
          <w:tcPr>
            <w:tcW w:w="1699"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b/>
                <w:sz w:val="24"/>
                <w:szCs w:val="24"/>
              </w:rPr>
            </w:pPr>
            <w:r>
              <w:rPr>
                <w:rFonts w:hint="eastAsia" w:ascii="宋体" w:hAnsi="宋体"/>
                <w:b/>
                <w:sz w:val="24"/>
                <w:szCs w:val="24"/>
              </w:rPr>
              <w:t>共享电动车使用收费标准(元)</w:t>
            </w:r>
          </w:p>
        </w:tc>
        <w:tc>
          <w:tcPr>
            <w:tcW w:w="1735"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b/>
                <w:sz w:val="24"/>
                <w:szCs w:val="24"/>
                <w:highlight w:val="yellow"/>
              </w:rPr>
            </w:pPr>
            <w:r>
              <w:rPr>
                <w:rFonts w:hint="eastAsia" w:ascii="宋体" w:hAnsi="宋体"/>
                <w:b/>
                <w:sz w:val="24"/>
                <w:szCs w:val="24"/>
              </w:rPr>
              <w:t>校园安防物资赞助(元)</w:t>
            </w:r>
          </w:p>
        </w:tc>
      </w:tr>
      <w:tr>
        <w:tblPrEx>
          <w:tblCellMar>
            <w:top w:w="0" w:type="dxa"/>
            <w:left w:w="108" w:type="dxa"/>
            <w:bottom w:w="0" w:type="dxa"/>
            <w:right w:w="108" w:type="dxa"/>
          </w:tblCellMar>
        </w:tblPrEx>
        <w:trPr>
          <w:trHeight w:val="454" w:hRule="atLeast"/>
          <w:jc w:val="center"/>
        </w:trPr>
        <w:tc>
          <w:tcPr>
            <w:tcW w:w="1656" w:type="dxa"/>
            <w:tcBorders>
              <w:top w:val="nil"/>
              <w:left w:val="single" w:color="auto" w:sz="8" w:space="0"/>
              <w:bottom w:val="single" w:color="auto" w:sz="8" w:space="0"/>
              <w:right w:val="single" w:color="auto" w:sz="8" w:space="0"/>
            </w:tcBorders>
            <w:vAlign w:val="center"/>
          </w:tcPr>
          <w:p>
            <w:pPr>
              <w:spacing w:line="360" w:lineRule="auto"/>
              <w:jc w:val="center"/>
              <w:rPr>
                <w:rFonts w:ascii="宋体" w:hAnsi="宋体"/>
                <w:sz w:val="24"/>
                <w:szCs w:val="24"/>
              </w:rPr>
            </w:pPr>
          </w:p>
        </w:tc>
        <w:tc>
          <w:tcPr>
            <w:tcW w:w="2159" w:type="dxa"/>
            <w:tcBorders>
              <w:top w:val="nil"/>
              <w:left w:val="nil"/>
              <w:bottom w:val="single" w:color="auto" w:sz="8" w:space="0"/>
              <w:right w:val="single" w:color="auto" w:sz="4" w:space="0"/>
            </w:tcBorders>
            <w:vAlign w:val="center"/>
          </w:tcPr>
          <w:p>
            <w:pPr>
              <w:spacing w:line="360" w:lineRule="auto"/>
              <w:rPr>
                <w:rFonts w:ascii="宋体" w:hAnsi="宋体"/>
                <w:sz w:val="24"/>
                <w:szCs w:val="24"/>
              </w:rPr>
            </w:pPr>
          </w:p>
        </w:tc>
        <w:tc>
          <w:tcPr>
            <w:tcW w:w="874" w:type="dxa"/>
            <w:tcBorders>
              <w:top w:val="nil"/>
              <w:left w:val="single" w:color="auto" w:sz="4" w:space="0"/>
              <w:bottom w:val="single" w:color="auto" w:sz="8" w:space="0"/>
              <w:right w:val="single" w:color="auto" w:sz="8" w:space="0"/>
            </w:tcBorders>
            <w:vAlign w:val="center"/>
          </w:tcPr>
          <w:p>
            <w:pPr>
              <w:spacing w:line="360" w:lineRule="auto"/>
              <w:jc w:val="center"/>
              <w:rPr>
                <w:rFonts w:ascii="宋体" w:hAnsi="宋体"/>
                <w:sz w:val="24"/>
                <w:szCs w:val="24"/>
              </w:rPr>
            </w:pPr>
          </w:p>
        </w:tc>
        <w:tc>
          <w:tcPr>
            <w:tcW w:w="818"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sz w:val="24"/>
                <w:szCs w:val="24"/>
              </w:rPr>
            </w:pPr>
          </w:p>
        </w:tc>
        <w:tc>
          <w:tcPr>
            <w:tcW w:w="1699" w:type="dxa"/>
            <w:tcBorders>
              <w:top w:val="single" w:color="auto" w:sz="8" w:space="0"/>
              <w:left w:val="nil"/>
              <w:bottom w:val="single" w:color="auto" w:sz="8" w:space="0"/>
              <w:right w:val="single" w:color="auto" w:sz="8" w:space="0"/>
            </w:tcBorders>
            <w:vAlign w:val="center"/>
          </w:tcPr>
          <w:p>
            <w:pPr>
              <w:spacing w:line="360" w:lineRule="auto"/>
              <w:jc w:val="right"/>
              <w:rPr>
                <w:rFonts w:ascii="宋体" w:hAnsi="宋体"/>
                <w:sz w:val="24"/>
                <w:szCs w:val="24"/>
              </w:rPr>
            </w:pPr>
          </w:p>
        </w:tc>
        <w:tc>
          <w:tcPr>
            <w:tcW w:w="1735" w:type="dxa"/>
            <w:tcBorders>
              <w:top w:val="single" w:color="auto" w:sz="8" w:space="0"/>
              <w:left w:val="nil"/>
              <w:bottom w:val="single" w:color="auto" w:sz="8" w:space="0"/>
              <w:right w:val="single" w:color="auto" w:sz="8" w:space="0"/>
            </w:tcBorders>
            <w:vAlign w:val="center"/>
          </w:tcPr>
          <w:p>
            <w:pPr>
              <w:spacing w:line="360" w:lineRule="auto"/>
              <w:jc w:val="right"/>
              <w:rPr>
                <w:rFonts w:ascii="宋体" w:hAnsi="宋体"/>
                <w:sz w:val="24"/>
                <w:szCs w:val="24"/>
              </w:rPr>
            </w:pPr>
          </w:p>
        </w:tc>
      </w:tr>
    </w:tbl>
    <w:p>
      <w:pPr>
        <w:spacing w:line="360" w:lineRule="auto"/>
        <w:ind w:left="550" w:leftChars="200" w:hanging="130" w:hangingChars="54"/>
        <w:rPr>
          <w:rFonts w:ascii="宋体" w:hAnsi="宋体"/>
          <w:b/>
          <w:sz w:val="24"/>
          <w:szCs w:val="24"/>
        </w:rPr>
      </w:pPr>
      <w:r>
        <w:rPr>
          <w:rFonts w:hint="eastAsia" w:ascii="宋体" w:hAnsi="宋体"/>
          <w:b/>
          <w:sz w:val="24"/>
          <w:szCs w:val="24"/>
        </w:rPr>
        <w:t>第二条 履约保证金</w:t>
      </w:r>
    </w:p>
    <w:p>
      <w:pPr>
        <w:spacing w:line="360" w:lineRule="auto"/>
        <w:ind w:firstLine="410" w:firstLineChars="171"/>
        <w:rPr>
          <w:rFonts w:ascii="宋体" w:hAnsi="宋体"/>
          <w:sz w:val="24"/>
          <w:szCs w:val="24"/>
        </w:rPr>
      </w:pPr>
      <w:r>
        <w:rPr>
          <w:rFonts w:hint="eastAsia" w:ascii="宋体" w:hAnsi="宋体"/>
          <w:sz w:val="24"/>
          <w:szCs w:val="24"/>
        </w:rPr>
        <w:t>合同签定后三日内应交纳人民币5万元作为履约保证金，无质量问题或其他方面问题，合同期满后5日内无息退还。</w:t>
      </w:r>
    </w:p>
    <w:p>
      <w:pPr>
        <w:spacing w:line="360" w:lineRule="auto"/>
        <w:ind w:left="897" w:leftChars="200" w:hanging="477" w:hangingChars="198"/>
        <w:rPr>
          <w:rFonts w:ascii="宋体" w:hAnsi="宋体"/>
          <w:b/>
          <w:sz w:val="24"/>
          <w:szCs w:val="24"/>
        </w:rPr>
      </w:pPr>
      <w:r>
        <w:rPr>
          <w:rFonts w:hint="eastAsia" w:ascii="宋体" w:hAnsi="宋体"/>
          <w:b/>
          <w:sz w:val="24"/>
          <w:szCs w:val="24"/>
        </w:rPr>
        <w:t>第三条 交货时间、数量及存放规定</w:t>
      </w:r>
    </w:p>
    <w:p>
      <w:pPr>
        <w:spacing w:line="360" w:lineRule="auto"/>
        <w:ind w:firstLine="480" w:firstLineChars="200"/>
        <w:rPr>
          <w:rFonts w:ascii="宋体" w:hAnsi="宋体"/>
          <w:sz w:val="24"/>
          <w:szCs w:val="24"/>
        </w:rPr>
      </w:pPr>
      <w:r>
        <w:rPr>
          <w:rFonts w:hint="eastAsia" w:ascii="宋体" w:hAnsi="宋体"/>
          <w:sz w:val="24"/>
          <w:szCs w:val="24"/>
        </w:rPr>
        <w:t>乙方应当在前将共享电动车</w:t>
      </w:r>
      <w:r>
        <w:rPr>
          <w:rFonts w:hint="eastAsia" w:ascii="宋体" w:hAnsi="宋体"/>
          <w:sz w:val="24"/>
          <w:szCs w:val="24"/>
          <w:lang w:val="en-US" w:eastAsia="zh-CN"/>
        </w:rPr>
        <w:t>300</w:t>
      </w:r>
      <w:r>
        <w:rPr>
          <w:rFonts w:hint="eastAsia" w:ascii="宋体" w:hAnsi="宋体"/>
          <w:sz w:val="24"/>
          <w:szCs w:val="24"/>
        </w:rPr>
        <w:t>辆运入校园内，在甲乙双方事先约定的电子围栏内存放。</w:t>
      </w:r>
    </w:p>
    <w:p>
      <w:pPr>
        <w:spacing w:line="360" w:lineRule="auto"/>
        <w:ind w:firstLine="472" w:firstLineChars="196"/>
        <w:rPr>
          <w:rFonts w:ascii="宋体" w:hAnsi="宋体"/>
          <w:b/>
          <w:sz w:val="24"/>
          <w:szCs w:val="24"/>
        </w:rPr>
      </w:pPr>
      <w:r>
        <w:rPr>
          <w:rFonts w:hint="eastAsia" w:ascii="宋体" w:hAnsi="宋体"/>
          <w:b/>
          <w:sz w:val="24"/>
          <w:szCs w:val="24"/>
        </w:rPr>
        <w:t>第四条 电动车的标准、质量及交付</w:t>
      </w:r>
    </w:p>
    <w:p>
      <w:pPr>
        <w:pStyle w:val="11"/>
        <w:snapToGrid w:val="0"/>
        <w:spacing w:line="360" w:lineRule="auto"/>
        <w:ind w:firstLine="480" w:firstLineChars="200"/>
        <w:rPr>
          <w:rFonts w:hAnsi="宋体"/>
          <w:kern w:val="2"/>
          <w:sz w:val="24"/>
          <w:szCs w:val="24"/>
        </w:rPr>
      </w:pPr>
      <w:r>
        <w:rPr>
          <w:rFonts w:hAnsi="宋体"/>
          <w:kern w:val="2"/>
          <w:sz w:val="24"/>
          <w:szCs w:val="24"/>
        </w:rPr>
        <w:t>1</w:t>
      </w:r>
      <w:r>
        <w:rPr>
          <w:rFonts w:hint="eastAsia" w:hAnsi="宋体"/>
          <w:kern w:val="2"/>
          <w:sz w:val="24"/>
          <w:szCs w:val="24"/>
        </w:rPr>
        <w:t>．乙方应保证交付的共享电动车是符合国标政策的合格正品，并完全符合合同规定的质量、规格和性能的要求，且每辆电动车均有保险。若技术性能无特殊说明，则按国家有关部门最新颁布的标准及规范为准。</w:t>
      </w:r>
    </w:p>
    <w:p>
      <w:pPr>
        <w:pStyle w:val="11"/>
        <w:snapToGrid w:val="0"/>
        <w:spacing w:line="360" w:lineRule="auto"/>
        <w:ind w:firstLine="480" w:firstLineChars="200"/>
        <w:rPr>
          <w:rFonts w:hAnsi="宋体"/>
          <w:kern w:val="2"/>
          <w:sz w:val="24"/>
          <w:szCs w:val="24"/>
        </w:rPr>
      </w:pPr>
      <w:r>
        <w:rPr>
          <w:rFonts w:hint="eastAsia" w:hAnsi="宋体"/>
          <w:kern w:val="2"/>
          <w:sz w:val="24"/>
          <w:szCs w:val="24"/>
        </w:rPr>
        <w:t>2.交付货物时乙方必须向甲方提供电瓶车说明书、质量保证书、保修卡、保险等必须具备的相关资料和必备的附件。</w:t>
      </w:r>
    </w:p>
    <w:p>
      <w:pPr>
        <w:spacing w:line="360" w:lineRule="auto"/>
        <w:ind w:firstLine="472" w:firstLineChars="196"/>
        <w:rPr>
          <w:rFonts w:ascii="宋体" w:hAnsi="宋体"/>
          <w:b/>
          <w:sz w:val="24"/>
          <w:szCs w:val="24"/>
        </w:rPr>
      </w:pPr>
      <w:r>
        <w:rPr>
          <w:rFonts w:hint="eastAsia" w:ascii="宋体" w:hAnsi="宋体"/>
          <w:b/>
          <w:sz w:val="24"/>
          <w:szCs w:val="24"/>
        </w:rPr>
        <w:t>第五条 验收时间、标准</w:t>
      </w:r>
    </w:p>
    <w:p>
      <w:pPr>
        <w:spacing w:line="360" w:lineRule="auto"/>
        <w:ind w:firstLine="480" w:firstLineChars="200"/>
        <w:rPr>
          <w:rFonts w:ascii="宋体" w:hAnsi="宋体"/>
          <w:sz w:val="24"/>
          <w:szCs w:val="24"/>
        </w:rPr>
      </w:pPr>
      <w:r>
        <w:rPr>
          <w:rFonts w:hint="eastAsia" w:ascii="宋体" w:hAnsi="宋体"/>
          <w:sz w:val="24"/>
          <w:szCs w:val="24"/>
        </w:rPr>
        <w:t>1．甲方应当在乙方到货并安装调试完毕后及时对货物进行验收。</w:t>
      </w:r>
    </w:p>
    <w:p>
      <w:pPr>
        <w:spacing w:line="360" w:lineRule="auto"/>
        <w:ind w:firstLine="480" w:firstLineChars="200"/>
        <w:rPr>
          <w:rFonts w:ascii="宋体" w:hAnsi="宋体"/>
          <w:sz w:val="24"/>
          <w:szCs w:val="24"/>
        </w:rPr>
      </w:pPr>
      <w:r>
        <w:rPr>
          <w:rFonts w:hint="eastAsia" w:ascii="宋体" w:hAnsi="宋体"/>
          <w:sz w:val="24"/>
          <w:szCs w:val="24"/>
        </w:rPr>
        <w:t>2．验收标准：符合竞争性磋商的有关约定。</w:t>
      </w:r>
    </w:p>
    <w:p>
      <w:pPr>
        <w:pStyle w:val="11"/>
        <w:snapToGrid w:val="0"/>
        <w:spacing w:line="360" w:lineRule="auto"/>
        <w:ind w:firstLine="482" w:firstLineChars="200"/>
        <w:rPr>
          <w:rFonts w:hAnsi="宋体"/>
          <w:b/>
          <w:kern w:val="2"/>
          <w:sz w:val="24"/>
          <w:szCs w:val="24"/>
        </w:rPr>
      </w:pPr>
      <w:r>
        <w:rPr>
          <w:rFonts w:hint="eastAsia" w:hAnsi="宋体"/>
          <w:b/>
          <w:kern w:val="2"/>
          <w:sz w:val="24"/>
          <w:szCs w:val="24"/>
        </w:rPr>
        <w:t>第六条 共享车规模管理</w:t>
      </w:r>
    </w:p>
    <w:p>
      <w:pPr>
        <w:spacing w:line="360" w:lineRule="auto"/>
        <w:ind w:firstLine="480" w:firstLineChars="200"/>
        <w:rPr>
          <w:rFonts w:ascii="宋体" w:hAnsi="宋体"/>
          <w:sz w:val="24"/>
          <w:szCs w:val="24"/>
        </w:rPr>
      </w:pPr>
      <w:r>
        <w:rPr>
          <w:rFonts w:hint="eastAsia" w:ascii="宋体" w:hAnsi="宋体"/>
          <w:sz w:val="24"/>
          <w:szCs w:val="24"/>
        </w:rPr>
        <w:t>当运营过程中，运营车辆和实际需求不一致时，乙方应根据甲方的实际使用量在甲方同意后方可增减供货量。</w:t>
      </w:r>
    </w:p>
    <w:p>
      <w:pPr>
        <w:spacing w:line="360" w:lineRule="auto"/>
        <w:ind w:firstLine="472" w:firstLineChars="196"/>
        <w:rPr>
          <w:rFonts w:ascii="宋体" w:hAnsi="宋体"/>
          <w:b/>
          <w:sz w:val="24"/>
          <w:szCs w:val="24"/>
        </w:rPr>
      </w:pPr>
      <w:r>
        <w:rPr>
          <w:rFonts w:hint="eastAsia" w:ascii="宋体" w:hAnsi="宋体"/>
          <w:b/>
          <w:sz w:val="24"/>
          <w:szCs w:val="24"/>
        </w:rPr>
        <w:t>第七条 管理服务及责任</w:t>
      </w:r>
    </w:p>
    <w:p>
      <w:pPr>
        <w:spacing w:line="360" w:lineRule="auto"/>
        <w:ind w:firstLine="470" w:firstLineChars="196"/>
        <w:rPr>
          <w:rFonts w:ascii="宋体" w:hAnsi="宋体"/>
          <w:sz w:val="24"/>
          <w:szCs w:val="24"/>
        </w:rPr>
      </w:pPr>
      <w:r>
        <w:rPr>
          <w:rFonts w:hint="eastAsia" w:ascii="宋体" w:hAnsi="宋体"/>
          <w:sz w:val="24"/>
          <w:szCs w:val="24"/>
        </w:rPr>
        <w:t>1.在合同期内，甲方不得无正当理由终止本合同,不得无理由引进第三家共享电动车运营商。</w:t>
      </w:r>
    </w:p>
    <w:p>
      <w:pPr>
        <w:spacing w:line="360" w:lineRule="auto"/>
        <w:ind w:firstLine="470" w:firstLineChars="196"/>
        <w:rPr>
          <w:rFonts w:ascii="宋体" w:hAnsi="宋体"/>
          <w:sz w:val="24"/>
          <w:szCs w:val="24"/>
        </w:rPr>
      </w:pPr>
      <w:r>
        <w:rPr>
          <w:rFonts w:hint="eastAsia" w:ascii="宋体" w:hAnsi="宋体"/>
          <w:sz w:val="24"/>
          <w:szCs w:val="24"/>
        </w:rPr>
        <w:t>2. 乙方需遵守学校各项规定，接受甲方监督及管理，违反学校规定一次，视情节轻重扣除履约保证金0.1—2万元。若乙方的售后服务有偏离，甲方将约谈乙方，并酌情扣除相应额度的履约保证金，约谈三次以上的将取消续标资格。</w:t>
      </w:r>
    </w:p>
    <w:p>
      <w:pPr>
        <w:spacing w:line="360" w:lineRule="auto"/>
        <w:ind w:firstLine="470" w:firstLineChars="196"/>
        <w:rPr>
          <w:rFonts w:ascii="宋体" w:hAnsi="宋体"/>
          <w:sz w:val="24"/>
          <w:szCs w:val="24"/>
        </w:rPr>
      </w:pPr>
      <w:r>
        <w:rPr>
          <w:rFonts w:hint="eastAsia" w:ascii="宋体" w:hAnsi="宋体"/>
          <w:sz w:val="24"/>
          <w:szCs w:val="24"/>
        </w:rPr>
        <w:t>3.  乙方在甲方校园内投放的车辆均由乙方负责车辆秩序维护、车辆维修保养、调整车辆停放位置。</w:t>
      </w:r>
    </w:p>
    <w:p>
      <w:pPr>
        <w:spacing w:line="360" w:lineRule="auto"/>
        <w:ind w:firstLine="470" w:firstLineChars="196"/>
        <w:rPr>
          <w:rFonts w:ascii="宋体" w:hAnsi="宋体"/>
          <w:sz w:val="24"/>
          <w:szCs w:val="24"/>
        </w:rPr>
      </w:pPr>
      <w:r>
        <w:rPr>
          <w:rFonts w:hint="eastAsia" w:ascii="宋体" w:hAnsi="宋体"/>
          <w:sz w:val="24"/>
          <w:szCs w:val="24"/>
        </w:rPr>
        <w:t>4．</w:t>
      </w:r>
      <w:r>
        <w:rPr>
          <w:rFonts w:ascii="宋体" w:hAnsi="宋体"/>
          <w:sz w:val="24"/>
          <w:szCs w:val="24"/>
        </w:rPr>
        <w:t>乙方提供的</w:t>
      </w:r>
      <w:r>
        <w:rPr>
          <w:rFonts w:hint="eastAsia" w:ascii="宋体" w:hAnsi="宋体"/>
          <w:sz w:val="24"/>
          <w:szCs w:val="24"/>
        </w:rPr>
        <w:t>共享电动车</w:t>
      </w:r>
      <w:r>
        <w:rPr>
          <w:rFonts w:ascii="宋体" w:hAnsi="宋体"/>
          <w:sz w:val="24"/>
          <w:szCs w:val="24"/>
        </w:rPr>
        <w:t>在</w:t>
      </w:r>
      <w:r>
        <w:rPr>
          <w:rFonts w:hint="eastAsia" w:ascii="宋体" w:hAnsi="宋体"/>
          <w:sz w:val="24"/>
          <w:szCs w:val="24"/>
        </w:rPr>
        <w:t>合同期</w:t>
      </w:r>
      <w:r>
        <w:rPr>
          <w:rFonts w:ascii="宋体" w:hAnsi="宋体"/>
          <w:sz w:val="24"/>
          <w:szCs w:val="24"/>
        </w:rPr>
        <w:t>内</w:t>
      </w:r>
      <w:r>
        <w:rPr>
          <w:rFonts w:hint="eastAsia" w:ascii="宋体" w:hAnsi="宋体"/>
          <w:sz w:val="24"/>
          <w:szCs w:val="24"/>
        </w:rPr>
        <w:t>，在我校运营期间，学生租车发生交通意外，造成人身伤害，乙方全权负责妥善处理。服务承诺详见附件。</w:t>
      </w:r>
    </w:p>
    <w:p>
      <w:pPr>
        <w:spacing w:line="360" w:lineRule="auto"/>
        <w:ind w:firstLine="470" w:firstLineChars="196"/>
        <w:rPr>
          <w:rFonts w:ascii="宋体" w:hAnsi="宋体"/>
          <w:sz w:val="24"/>
          <w:szCs w:val="24"/>
        </w:rPr>
      </w:pPr>
      <w:r>
        <w:rPr>
          <w:rFonts w:hint="eastAsia" w:ascii="宋体" w:hAnsi="宋体"/>
          <w:sz w:val="24"/>
          <w:szCs w:val="24"/>
        </w:rPr>
        <w:t>5.  在合同期内，乙方收集到的用户个人信息必须严格保密，因乙方原因造成个人用户信息泄露，乙方承担全部责任。保密条款不因双方协议终止而失效，任何一方若违反保密义务，泄露一方需负全部责任，并赔偿损失。</w:t>
      </w:r>
    </w:p>
    <w:p>
      <w:pPr>
        <w:spacing w:line="360" w:lineRule="auto"/>
        <w:ind w:firstLine="470" w:firstLineChars="196"/>
        <w:rPr>
          <w:rFonts w:ascii="宋体" w:hAnsi="宋体"/>
          <w:sz w:val="24"/>
          <w:szCs w:val="24"/>
        </w:rPr>
      </w:pPr>
      <w:r>
        <w:rPr>
          <w:rFonts w:hint="eastAsia" w:ascii="宋体" w:hAnsi="宋体"/>
          <w:sz w:val="24"/>
          <w:szCs w:val="24"/>
        </w:rPr>
        <w:t>6. 在甲方有重大活动期间，有权要求乙方对运营管理方案进行临时调整。</w:t>
      </w:r>
    </w:p>
    <w:p>
      <w:pPr>
        <w:spacing w:line="360" w:lineRule="auto"/>
        <w:ind w:firstLine="470" w:firstLineChars="196"/>
        <w:rPr>
          <w:rFonts w:ascii="宋体" w:hAnsi="宋体"/>
          <w:sz w:val="24"/>
          <w:szCs w:val="24"/>
        </w:rPr>
      </w:pPr>
      <w:r>
        <w:rPr>
          <w:rFonts w:hint="eastAsia" w:ascii="宋体" w:hAnsi="宋体"/>
          <w:sz w:val="24"/>
          <w:szCs w:val="24"/>
        </w:rPr>
        <w:t>7. 甲方需要为乙方提供相关部门的沟通协调，以保证乙方的正常运营。乙方需要配合甲方及时清理校园内未中标单位的共享电动车。</w:t>
      </w:r>
    </w:p>
    <w:p>
      <w:pPr>
        <w:spacing w:line="360" w:lineRule="auto"/>
        <w:ind w:firstLine="480" w:firstLineChars="200"/>
        <w:rPr>
          <w:rFonts w:ascii="宋体" w:hAnsi="宋体"/>
          <w:sz w:val="24"/>
          <w:szCs w:val="24"/>
        </w:rPr>
      </w:pPr>
      <w:r>
        <w:rPr>
          <w:rFonts w:hint="eastAsia" w:ascii="宋体" w:hAnsi="宋体"/>
          <w:sz w:val="24"/>
          <w:szCs w:val="24"/>
        </w:rPr>
        <w:t>8.运营期间，对学校管理配合程度高，师生反映好的供应商，经保卫处综合评估，在合同到期后，可续签，符合新国标（GB17761-2018）且无质量问题的车辆，续签后可继续在校园内使用。</w:t>
      </w:r>
    </w:p>
    <w:p>
      <w:pPr>
        <w:spacing w:line="360" w:lineRule="auto"/>
        <w:ind w:firstLine="472" w:firstLineChars="196"/>
        <w:rPr>
          <w:rFonts w:ascii="宋体" w:hAnsi="宋体"/>
          <w:b/>
          <w:sz w:val="24"/>
          <w:szCs w:val="24"/>
        </w:rPr>
      </w:pPr>
      <w:r>
        <w:rPr>
          <w:rFonts w:hint="eastAsia" w:ascii="宋体" w:hAnsi="宋体"/>
          <w:b/>
          <w:sz w:val="24"/>
          <w:szCs w:val="24"/>
        </w:rPr>
        <w:t>第八条 违约责任</w:t>
      </w:r>
    </w:p>
    <w:p>
      <w:pPr>
        <w:spacing w:line="360" w:lineRule="auto"/>
        <w:ind w:firstLine="470" w:firstLineChars="196"/>
        <w:rPr>
          <w:rFonts w:ascii="宋体" w:hAnsi="宋体"/>
          <w:sz w:val="24"/>
          <w:szCs w:val="24"/>
        </w:rPr>
      </w:pPr>
      <w:r>
        <w:rPr>
          <w:rFonts w:hint="eastAsia" w:ascii="宋体" w:hAnsi="宋体"/>
          <w:sz w:val="24"/>
          <w:szCs w:val="24"/>
        </w:rPr>
        <w:t>1．</w:t>
      </w:r>
      <w:r>
        <w:rPr>
          <w:rFonts w:ascii="宋体" w:hAnsi="宋体"/>
          <w:sz w:val="24"/>
          <w:szCs w:val="24"/>
        </w:rPr>
        <w:t>乙方</w:t>
      </w:r>
      <w:r>
        <w:rPr>
          <w:rFonts w:hint="eastAsia" w:ascii="宋体" w:hAnsi="宋体"/>
          <w:sz w:val="24"/>
          <w:szCs w:val="24"/>
        </w:rPr>
        <w:t>提供的服务</w:t>
      </w:r>
      <w:r>
        <w:rPr>
          <w:rFonts w:ascii="宋体" w:hAnsi="宋体"/>
          <w:sz w:val="24"/>
          <w:szCs w:val="24"/>
        </w:rPr>
        <w:t>不符合合同及</w:t>
      </w:r>
      <w:r>
        <w:rPr>
          <w:rFonts w:hint="eastAsia" w:ascii="宋体" w:hAnsi="宋体"/>
          <w:sz w:val="24"/>
          <w:szCs w:val="24"/>
        </w:rPr>
        <w:t>磋商</w:t>
      </w:r>
      <w:r>
        <w:rPr>
          <w:rFonts w:ascii="宋体" w:hAnsi="宋体"/>
          <w:sz w:val="24"/>
          <w:szCs w:val="24"/>
        </w:rPr>
        <w:t>文件规定标准的，甲方有权</w:t>
      </w:r>
      <w:r>
        <w:rPr>
          <w:rFonts w:hint="eastAsia" w:ascii="宋体" w:hAnsi="宋体"/>
          <w:sz w:val="24"/>
          <w:szCs w:val="24"/>
        </w:rPr>
        <w:t>拒绝乙方继续运营，可以要求乙方改正。若甲方要求乙方改正，但乙方仍不能在双方约定期间内提供符合合同及磋商文件规定标准的服务，</w:t>
      </w:r>
      <w:r>
        <w:rPr>
          <w:rFonts w:ascii="宋体" w:hAnsi="宋体"/>
          <w:sz w:val="24"/>
          <w:szCs w:val="24"/>
        </w:rPr>
        <w:t>甲方可单方解除</w:t>
      </w:r>
      <w:r>
        <w:rPr>
          <w:rFonts w:hint="eastAsia" w:ascii="宋体" w:hAnsi="宋体"/>
          <w:sz w:val="24"/>
          <w:szCs w:val="24"/>
        </w:rPr>
        <w:t>本</w:t>
      </w:r>
      <w:r>
        <w:rPr>
          <w:rFonts w:ascii="宋体" w:hAnsi="宋体"/>
          <w:sz w:val="24"/>
          <w:szCs w:val="24"/>
        </w:rPr>
        <w:t>合同</w:t>
      </w:r>
      <w:r>
        <w:rPr>
          <w:rFonts w:hint="eastAsia" w:ascii="宋体" w:hAnsi="宋体"/>
          <w:sz w:val="24"/>
          <w:szCs w:val="24"/>
        </w:rPr>
        <w:t>。</w:t>
      </w:r>
    </w:p>
    <w:p>
      <w:pPr>
        <w:spacing w:line="360" w:lineRule="auto"/>
        <w:ind w:firstLine="470" w:firstLineChars="196"/>
        <w:rPr>
          <w:rFonts w:ascii="宋体" w:hAnsi="宋体"/>
          <w:sz w:val="24"/>
          <w:szCs w:val="24"/>
        </w:rPr>
      </w:pPr>
      <w:r>
        <w:rPr>
          <w:rFonts w:hint="eastAsia" w:ascii="宋体" w:hAnsi="宋体"/>
          <w:sz w:val="24"/>
          <w:szCs w:val="24"/>
        </w:rPr>
        <w:t>2.</w:t>
      </w:r>
      <w:r>
        <w:rPr>
          <w:rFonts w:ascii="宋体" w:hAnsi="宋体"/>
          <w:sz w:val="24"/>
          <w:szCs w:val="24"/>
        </w:rPr>
        <w:t>因</w:t>
      </w:r>
      <w:r>
        <w:rPr>
          <w:rFonts w:hint="eastAsia" w:ascii="宋体" w:hAnsi="宋体"/>
          <w:sz w:val="24"/>
          <w:szCs w:val="24"/>
        </w:rPr>
        <w:t>乙方原因导致甲方</w:t>
      </w:r>
      <w:r>
        <w:rPr>
          <w:rFonts w:ascii="宋体" w:hAnsi="宋体"/>
          <w:sz w:val="24"/>
          <w:szCs w:val="24"/>
        </w:rPr>
        <w:t>解除合同的，</w:t>
      </w:r>
      <w:r>
        <w:rPr>
          <w:rFonts w:hint="eastAsia" w:ascii="宋体" w:hAnsi="宋体"/>
          <w:sz w:val="24"/>
          <w:szCs w:val="24"/>
        </w:rPr>
        <w:t>甲方没收乙方的履约保证金，如</w:t>
      </w:r>
      <w:r>
        <w:rPr>
          <w:rFonts w:ascii="宋体" w:hAnsi="宋体"/>
          <w:sz w:val="24"/>
          <w:szCs w:val="24"/>
        </w:rPr>
        <w:t>造成甲方损失超过</w:t>
      </w:r>
      <w:r>
        <w:rPr>
          <w:rFonts w:hint="eastAsia" w:ascii="宋体" w:hAnsi="宋体"/>
          <w:sz w:val="24"/>
          <w:szCs w:val="24"/>
        </w:rPr>
        <w:t>运营管理</w:t>
      </w:r>
      <w:r>
        <w:rPr>
          <w:rFonts w:ascii="宋体" w:hAnsi="宋体"/>
          <w:sz w:val="24"/>
          <w:szCs w:val="24"/>
        </w:rPr>
        <w:t>金</w:t>
      </w:r>
      <w:r>
        <w:rPr>
          <w:rFonts w:hint="eastAsia" w:ascii="宋体" w:hAnsi="宋体"/>
          <w:sz w:val="24"/>
          <w:szCs w:val="24"/>
        </w:rPr>
        <w:t>数额</w:t>
      </w:r>
      <w:r>
        <w:rPr>
          <w:rFonts w:ascii="宋体" w:hAnsi="宋体"/>
          <w:sz w:val="24"/>
          <w:szCs w:val="24"/>
        </w:rPr>
        <w:t>的，超出部分由乙方继续承担赔偿责任</w:t>
      </w:r>
      <w:r>
        <w:rPr>
          <w:rFonts w:hint="eastAsia" w:ascii="宋体" w:hAnsi="宋体"/>
          <w:sz w:val="24"/>
          <w:szCs w:val="24"/>
        </w:rPr>
        <w:t>，赔偿责任范围还包括但不限于甲方因此支付的公证费、鉴定费、诉讼费、律师费等费用。</w:t>
      </w:r>
    </w:p>
    <w:p>
      <w:pPr>
        <w:spacing w:line="360" w:lineRule="auto"/>
        <w:ind w:left="875" w:leftChars="200" w:hanging="455" w:hangingChars="189"/>
        <w:rPr>
          <w:rFonts w:ascii="宋体" w:hAnsi="宋体"/>
          <w:b/>
          <w:sz w:val="24"/>
          <w:szCs w:val="24"/>
        </w:rPr>
      </w:pPr>
      <w:r>
        <w:rPr>
          <w:rFonts w:hint="eastAsia" w:ascii="宋体" w:hAnsi="宋体"/>
          <w:b/>
          <w:sz w:val="24"/>
          <w:szCs w:val="24"/>
        </w:rPr>
        <w:t>第九条 合同的转让</w:t>
      </w:r>
    </w:p>
    <w:p>
      <w:pPr>
        <w:spacing w:line="360" w:lineRule="auto"/>
        <w:ind w:firstLine="480" w:firstLineChars="200"/>
        <w:rPr>
          <w:rFonts w:ascii="宋体" w:hAnsi="宋体"/>
          <w:sz w:val="24"/>
          <w:szCs w:val="24"/>
        </w:rPr>
      </w:pPr>
      <w:r>
        <w:rPr>
          <w:rFonts w:hint="eastAsia" w:ascii="宋体" w:hAnsi="宋体"/>
          <w:sz w:val="24"/>
          <w:szCs w:val="24"/>
        </w:rPr>
        <w:t>乙方不得擅自部分或全部转让其应履行的合同义务，否则，甲方视乙方擅自转让行为为根本违约行为，有权单方解除合同，按本合同第九条第五款追究乙方的违约责任。</w:t>
      </w:r>
    </w:p>
    <w:p>
      <w:pPr>
        <w:spacing w:line="360" w:lineRule="auto"/>
        <w:ind w:left="-10" w:leftChars="-5" w:firstLine="472" w:firstLineChars="196"/>
        <w:rPr>
          <w:rFonts w:ascii="宋体" w:hAnsi="宋体"/>
          <w:b/>
          <w:sz w:val="24"/>
          <w:szCs w:val="24"/>
        </w:rPr>
      </w:pPr>
      <w:r>
        <w:rPr>
          <w:rFonts w:hint="eastAsia" w:ascii="宋体" w:hAnsi="宋体"/>
          <w:b/>
          <w:sz w:val="24"/>
          <w:szCs w:val="24"/>
        </w:rPr>
        <w:t>第十条 合同的组成及生效</w:t>
      </w:r>
    </w:p>
    <w:p>
      <w:pPr>
        <w:spacing w:line="360" w:lineRule="auto"/>
        <w:ind w:firstLine="480" w:firstLineChars="200"/>
        <w:rPr>
          <w:rFonts w:ascii="宋体" w:hAnsi="宋体"/>
          <w:sz w:val="24"/>
          <w:szCs w:val="24"/>
        </w:rPr>
      </w:pPr>
      <w:r>
        <w:rPr>
          <w:rFonts w:hint="eastAsia" w:ascii="宋体" w:hAnsi="宋体"/>
          <w:sz w:val="24"/>
          <w:szCs w:val="24"/>
        </w:rPr>
        <w:t>1．磋商文件、成交供应商的磋商响应文件、有关变更补充文件以及磋商过程中的澄清、承诺文件等及合同附件均是合同的重要组成部分和本合同均具有同等法律效力。</w:t>
      </w:r>
    </w:p>
    <w:p>
      <w:pPr>
        <w:spacing w:line="360" w:lineRule="auto"/>
        <w:ind w:firstLine="468" w:firstLineChars="195"/>
        <w:rPr>
          <w:rFonts w:ascii="宋体" w:hAnsi="宋体"/>
          <w:sz w:val="24"/>
          <w:szCs w:val="24"/>
        </w:rPr>
      </w:pPr>
      <w:r>
        <w:rPr>
          <w:rFonts w:hint="eastAsia" w:ascii="宋体" w:hAnsi="宋体"/>
          <w:sz w:val="24"/>
          <w:szCs w:val="24"/>
        </w:rPr>
        <w:t>2．本合同经双方法定代表人或授权代表签字并加盖单位公章后生效。合同执行期内，甲乙双方均不得随意变更或解除合同。合同如有未尽事宜，须经双方共同协商，做出补充规定，补充规定与合同具有同等效力。</w:t>
      </w:r>
    </w:p>
    <w:p>
      <w:pPr>
        <w:spacing w:line="360" w:lineRule="auto"/>
        <w:ind w:firstLine="468" w:firstLineChars="195"/>
        <w:rPr>
          <w:rFonts w:ascii="宋体" w:hAnsi="宋体"/>
          <w:sz w:val="24"/>
          <w:szCs w:val="24"/>
        </w:rPr>
      </w:pPr>
      <w:r>
        <w:rPr>
          <w:rFonts w:hint="eastAsia" w:ascii="宋体" w:hAnsi="宋体"/>
          <w:sz w:val="24"/>
          <w:szCs w:val="24"/>
        </w:rPr>
        <w:t>3．本合同壹式肆份，甲方执叁份，乙方执壹份。</w:t>
      </w:r>
    </w:p>
    <w:p>
      <w:pPr>
        <w:spacing w:line="360" w:lineRule="auto"/>
        <w:ind w:firstLine="472" w:firstLineChars="196"/>
        <w:rPr>
          <w:rFonts w:ascii="宋体" w:hAnsi="宋体"/>
          <w:b/>
          <w:sz w:val="24"/>
          <w:szCs w:val="24"/>
        </w:rPr>
      </w:pPr>
      <w:r>
        <w:rPr>
          <w:rFonts w:hint="eastAsia" w:ascii="宋体" w:hAnsi="宋体"/>
          <w:b/>
          <w:sz w:val="24"/>
          <w:szCs w:val="24"/>
        </w:rPr>
        <w:t>第十一条 不可抗力事件处理</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在合同有效期内，任何一方因不可抗力事件导致不能履行合同，则合同履行期可延长，其延长期与不可抗力影响期相同。</w:t>
      </w:r>
    </w:p>
    <w:p>
      <w:pPr>
        <w:spacing w:line="360" w:lineRule="auto"/>
        <w:ind w:left="873" w:leftChars="200" w:hanging="453" w:hangingChars="189"/>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不可抗力事件发生后，应立即通知对方，并寄送有关权威机构出具的证明。</w:t>
      </w:r>
    </w:p>
    <w:p>
      <w:pPr>
        <w:spacing w:line="360" w:lineRule="auto"/>
        <w:ind w:firstLine="472" w:firstLineChars="196"/>
        <w:rPr>
          <w:rFonts w:ascii="宋体" w:hAnsi="宋体"/>
          <w:b/>
          <w:sz w:val="24"/>
          <w:szCs w:val="24"/>
        </w:rPr>
      </w:pPr>
      <w:r>
        <w:rPr>
          <w:rFonts w:hint="eastAsia" w:ascii="宋体" w:hAnsi="宋体"/>
          <w:b/>
          <w:sz w:val="24"/>
          <w:szCs w:val="24"/>
        </w:rPr>
        <w:t>第十二条 合同争议的解决方式</w:t>
      </w:r>
    </w:p>
    <w:p>
      <w:pPr>
        <w:spacing w:line="360" w:lineRule="auto"/>
        <w:ind w:firstLine="480" w:firstLineChars="200"/>
        <w:rPr>
          <w:rFonts w:hint="eastAsia" w:ascii="宋体" w:hAnsi="宋体"/>
          <w:color w:val="auto"/>
          <w:sz w:val="24"/>
          <w:szCs w:val="21"/>
        </w:rPr>
      </w:pPr>
      <w:r>
        <w:rPr>
          <w:rFonts w:hint="eastAsia" w:ascii="宋体" w:hAnsi="宋体"/>
          <w:sz w:val="24"/>
          <w:szCs w:val="24"/>
        </w:rPr>
        <w:t>本合同如发生纠纷，当事人双方应当及时协商解决，</w:t>
      </w:r>
      <w:r>
        <w:rPr>
          <w:rFonts w:hint="eastAsia" w:ascii="宋体" w:hAnsi="宋体"/>
          <w:sz w:val="24"/>
          <w:szCs w:val="21"/>
        </w:rPr>
        <w:t>如果协商不能解决争议，</w:t>
      </w:r>
      <w:r>
        <w:rPr>
          <w:rFonts w:hint="eastAsia" w:ascii="宋体" w:hAnsi="宋体"/>
          <w:color w:val="auto"/>
          <w:sz w:val="24"/>
          <w:szCs w:val="21"/>
        </w:rPr>
        <w:t>则采取向丽水仲裁委员会按其仲裁规则申请仲裁方式解决争议。</w:t>
      </w:r>
    </w:p>
    <w:p>
      <w:pPr>
        <w:spacing w:line="360" w:lineRule="auto"/>
        <w:rPr>
          <w:sz w:val="24"/>
          <w:szCs w:val="24"/>
        </w:rPr>
      </w:pPr>
    </w:p>
    <w:p>
      <w:pPr>
        <w:spacing w:line="360" w:lineRule="auto"/>
        <w:rPr>
          <w:sz w:val="24"/>
          <w:szCs w:val="24"/>
        </w:rPr>
      </w:pPr>
    </w:p>
    <w:p>
      <w:pPr>
        <w:snapToGrid w:val="0"/>
        <w:spacing w:before="119" w:line="272" w:lineRule="atLeast"/>
        <w:rPr>
          <w:rFonts w:ascii="宋体" w:hAnsi="宋体"/>
          <w:color w:val="0D0D0D"/>
          <w:sz w:val="24"/>
          <w:szCs w:val="24"/>
        </w:rPr>
      </w:pPr>
      <w:r>
        <w:rPr>
          <w:rFonts w:hint="eastAsia" w:ascii="宋体" w:hAnsi="宋体"/>
          <w:color w:val="0D0D0D"/>
          <w:sz w:val="24"/>
          <w:szCs w:val="24"/>
        </w:rPr>
        <w:t>甲方（盖公章）：</w:t>
      </w:r>
      <w:r>
        <w:rPr>
          <w:rFonts w:hint="eastAsia" w:ascii="宋体" w:hAnsi="宋体"/>
          <w:color w:val="0D0D0D"/>
          <w:sz w:val="24"/>
          <w:szCs w:val="24"/>
        </w:rPr>
        <w:tab/>
      </w:r>
      <w:r>
        <w:rPr>
          <w:rFonts w:hint="eastAsia" w:ascii="宋体" w:hAnsi="宋体"/>
          <w:color w:val="0D0D0D"/>
          <w:sz w:val="24"/>
          <w:szCs w:val="24"/>
        </w:rPr>
        <w:t xml:space="preserve">                            乙方（盖公章）：</w:t>
      </w:r>
    </w:p>
    <w:p>
      <w:pPr>
        <w:pStyle w:val="46"/>
        <w:snapToGrid w:val="0"/>
        <w:spacing w:before="119" w:line="272" w:lineRule="atLeast"/>
        <w:ind w:left="840" w:firstLine="420"/>
        <w:rPr>
          <w:rFonts w:ascii="宋体" w:hAnsi="宋体"/>
          <w:color w:val="0D0D0D"/>
          <w:sz w:val="24"/>
          <w:szCs w:val="24"/>
        </w:rPr>
      </w:pPr>
    </w:p>
    <w:p>
      <w:pPr>
        <w:snapToGrid w:val="0"/>
        <w:spacing w:before="119" w:line="272" w:lineRule="atLeast"/>
        <w:rPr>
          <w:rFonts w:ascii="宋体" w:hAnsi="宋体"/>
          <w:color w:val="0D0D0D"/>
          <w:sz w:val="24"/>
          <w:szCs w:val="24"/>
          <w:u w:val="single"/>
        </w:rPr>
      </w:pPr>
      <w:r>
        <w:rPr>
          <w:rFonts w:hint="eastAsia" w:ascii="宋体" w:hAnsi="宋体"/>
          <w:color w:val="0D0D0D"/>
          <w:sz w:val="24"/>
          <w:szCs w:val="24"/>
        </w:rPr>
        <w:t xml:space="preserve">法定代表人或授权代表（签字或盖章）：          法定代表人或授权代表（签字或盖章）：  </w:t>
      </w:r>
    </w:p>
    <w:p>
      <w:pPr>
        <w:snapToGrid w:val="0"/>
        <w:spacing w:before="119" w:line="272" w:lineRule="atLeast"/>
        <w:rPr>
          <w:rFonts w:ascii="宋体" w:hAnsi="宋体"/>
          <w:color w:val="0D0D0D"/>
          <w:sz w:val="24"/>
          <w:szCs w:val="24"/>
        </w:rPr>
      </w:pPr>
    </w:p>
    <w:p>
      <w:pPr>
        <w:snapToGrid w:val="0"/>
        <w:spacing w:before="119" w:line="272" w:lineRule="atLeast"/>
        <w:rPr>
          <w:rFonts w:ascii="宋体" w:hAnsi="宋体"/>
          <w:color w:val="0D0D0D"/>
          <w:sz w:val="24"/>
          <w:szCs w:val="24"/>
        </w:rPr>
      </w:pPr>
      <w:r>
        <w:rPr>
          <w:rFonts w:hint="eastAsia" w:ascii="宋体" w:hAnsi="宋体"/>
          <w:color w:val="0D0D0D"/>
          <w:sz w:val="24"/>
          <w:szCs w:val="24"/>
        </w:rPr>
        <w:t>合同签订地点：</w:t>
      </w:r>
    </w:p>
    <w:p>
      <w:pPr>
        <w:snapToGrid w:val="0"/>
        <w:spacing w:before="119" w:line="272" w:lineRule="atLeast"/>
        <w:rPr>
          <w:rFonts w:ascii="宋体" w:hAnsi="宋体"/>
          <w:color w:val="0D0D0D"/>
          <w:sz w:val="24"/>
          <w:szCs w:val="24"/>
        </w:rPr>
      </w:pPr>
    </w:p>
    <w:p>
      <w:pPr>
        <w:snapToGrid w:val="0"/>
        <w:spacing w:before="119" w:line="272" w:lineRule="atLeast"/>
        <w:rPr>
          <w:b/>
          <w:sz w:val="24"/>
          <w:szCs w:val="24"/>
        </w:rPr>
      </w:pPr>
      <w:r>
        <w:rPr>
          <w:rFonts w:hint="eastAsia" w:ascii="宋体" w:hAnsi="宋体"/>
          <w:color w:val="0D0D0D"/>
          <w:sz w:val="24"/>
          <w:szCs w:val="24"/>
        </w:rPr>
        <w:t>签订时间：    年　月　日</w:t>
      </w: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jc w:val="left"/>
        <w:rPr>
          <w:rFonts w:hint="eastAsia" w:ascii="宋体" w:hAnsi="宋体" w:cs="宋体"/>
          <w:color w:val="auto"/>
          <w:sz w:val="24"/>
          <w:szCs w:val="24"/>
        </w:rPr>
      </w:pPr>
      <w:r>
        <w:rPr>
          <w:rFonts w:hint="eastAsia" w:ascii="宋体" w:hAnsi="宋体" w:cs="宋体"/>
          <w:b/>
          <w:color w:val="auto"/>
          <w:sz w:val="24"/>
          <w:szCs w:val="24"/>
        </w:rPr>
        <w:t>注：具体以中标人与采购人所签定正式合同为准</w:t>
      </w: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jc w:val="center"/>
        <w:rPr>
          <w:rFonts w:ascii="宋体" w:hAnsi="宋体"/>
          <w:b/>
          <w:sz w:val="30"/>
          <w:szCs w:val="30"/>
        </w:rPr>
      </w:pPr>
      <w:r>
        <w:rPr>
          <w:rFonts w:hint="eastAsia" w:ascii="宋体" w:hAnsi="宋体"/>
          <w:b/>
          <w:sz w:val="30"/>
          <w:szCs w:val="30"/>
        </w:rPr>
        <w:t>第五章 评标办法</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sz w:val="24"/>
          <w:szCs w:val="24"/>
        </w:rPr>
        <w:t>结合本项目的实际需求，本次评审采用综合评分法，总分100分，其中管理及资质分值30分，价格及服务分值70分。磋商小组成员在规定的分值范围内独立打分，评分保留两位小数。合格响应方的评标得分为各项目汇总得分，中标</w:t>
      </w:r>
      <w:r>
        <w:rPr>
          <w:rFonts w:hint="eastAsia" w:ascii="宋体" w:hAnsi="宋体"/>
          <w:color w:val="000000" w:themeColor="text1"/>
          <w:sz w:val="24"/>
          <w:szCs w:val="24"/>
          <w14:textFill>
            <w14:solidFill>
              <w14:schemeClr w14:val="tx1"/>
            </w14:solidFill>
          </w14:textFill>
        </w:rPr>
        <w:t>推荐候选资格按评标得分由高到低顺序排列，得分相同的，按磋商小组评分由高到低顺序排列。</w:t>
      </w:r>
    </w:p>
    <w:tbl>
      <w:tblPr>
        <w:tblStyle w:val="22"/>
        <w:tblpPr w:leftFromText="180" w:rightFromText="180" w:vertAnchor="text" w:tblpX="-176"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87"/>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52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w:t>
            </w:r>
          </w:p>
        </w:tc>
        <w:tc>
          <w:tcPr>
            <w:tcW w:w="70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评分内容和标准</w:t>
            </w: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得分</w:t>
            </w:r>
          </w:p>
        </w:tc>
        <w:tc>
          <w:tcPr>
            <w:tcW w:w="8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管理及资质</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30</w:t>
            </w:r>
            <w:r>
              <w:rPr>
                <w:rFonts w:hint="eastAsia" w:ascii="宋体" w:hAnsi="宋体"/>
                <w:b/>
                <w:color w:val="000000" w:themeColor="text1"/>
                <w:sz w:val="24"/>
                <w:szCs w:val="24"/>
                <w14:textFill>
                  <w14:solidFill>
                    <w14:schemeClr w14:val="tx1"/>
                  </w14:solidFill>
                </w14:textFill>
              </w:rPr>
              <w:t>分）</w:t>
            </w:r>
          </w:p>
        </w:tc>
        <w:tc>
          <w:tcPr>
            <w:tcW w:w="7087"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在丽水市区具有行政执法</w:t>
            </w:r>
            <w:r>
              <w:rPr>
                <w:rFonts w:hint="eastAsia" w:ascii="宋体" w:hAnsi="宋体"/>
                <w:color w:val="000000" w:themeColor="text1"/>
                <w:sz w:val="24"/>
                <w:szCs w:val="24"/>
                <w14:textFill>
                  <w14:solidFill>
                    <w14:schemeClr w14:val="tx1"/>
                  </w14:solidFill>
                </w14:textFill>
              </w:rPr>
              <w:t>部门</w:t>
            </w:r>
            <w:r>
              <w:rPr>
                <w:rFonts w:hint="eastAsia" w:ascii="宋体" w:hAnsi="宋体"/>
                <w:color w:val="000000" w:themeColor="text1"/>
                <w:sz w:val="24"/>
                <w:szCs w:val="24"/>
                <w:lang w:val="en-US" w:eastAsia="zh-CN"/>
                <w14:textFill>
                  <w14:solidFill>
                    <w14:schemeClr w14:val="tx1"/>
                  </w14:solidFill>
                </w14:textFill>
              </w:rPr>
              <w:t>核发的</w:t>
            </w:r>
            <w:r>
              <w:rPr>
                <w:rFonts w:hint="eastAsia" w:ascii="宋体" w:hAnsi="宋体"/>
                <w:color w:val="000000" w:themeColor="text1"/>
                <w:sz w:val="24"/>
                <w:szCs w:val="24"/>
                <w14:textFill>
                  <w14:solidFill>
                    <w14:schemeClr w14:val="tx1"/>
                  </w14:solidFill>
                </w14:textFill>
              </w:rPr>
              <w:t>共享电瓶</w:t>
            </w:r>
            <w:r>
              <w:rPr>
                <w:rFonts w:hint="eastAsia" w:ascii="宋体" w:hAnsi="宋体"/>
                <w:color w:val="000000" w:themeColor="text1"/>
                <w:sz w:val="24"/>
                <w:szCs w:val="24"/>
                <w:lang w:val="en-US" w:eastAsia="zh-CN"/>
                <w14:textFill>
                  <w14:solidFill>
                    <w14:schemeClr w14:val="tx1"/>
                  </w14:solidFill>
                </w14:textFill>
              </w:rPr>
              <w:t>车号牌配额，</w:t>
            </w:r>
            <w:r>
              <w:rPr>
                <w:rFonts w:hint="eastAsia" w:ascii="宋体" w:hAnsi="宋体"/>
                <w:color w:val="000000" w:themeColor="text1"/>
                <w:sz w:val="24"/>
                <w:szCs w:val="24"/>
                <w14:textFill>
                  <w14:solidFill>
                    <w14:schemeClr w14:val="tx1"/>
                  </w14:solidFill>
                </w14:textFill>
              </w:rPr>
              <w:t>网格内投放车辆2000辆为基准，每增加</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000辆得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分，以此递推。（0-4分）（需提供</w:t>
            </w:r>
            <w:r>
              <w:rPr>
                <w:rFonts w:hint="eastAsia" w:ascii="宋体" w:hAnsi="宋体"/>
                <w:color w:val="000000" w:themeColor="text1"/>
                <w:sz w:val="24"/>
                <w:szCs w:val="24"/>
                <w:lang w:val="en-US" w:eastAsia="zh-CN"/>
                <w14:textFill>
                  <w14:solidFill>
                    <w14:schemeClr w14:val="tx1"/>
                  </w14:solidFill>
                </w14:textFill>
              </w:rPr>
              <w:t>相关</w:t>
            </w:r>
            <w:r>
              <w:rPr>
                <w:rFonts w:hint="eastAsia" w:ascii="宋体" w:hAnsi="宋体"/>
                <w:color w:val="000000" w:themeColor="text1"/>
                <w:sz w:val="24"/>
                <w:szCs w:val="24"/>
                <w14:textFill>
                  <w14:solidFill>
                    <w14:schemeClr w14:val="tx1"/>
                  </w14:solidFill>
                </w14:textFill>
              </w:rPr>
              <w:t>证</w:t>
            </w:r>
            <w:r>
              <w:rPr>
                <w:rFonts w:hint="eastAsia" w:ascii="宋体" w:hAnsi="宋体"/>
                <w:color w:val="000000" w:themeColor="text1"/>
                <w:sz w:val="24"/>
                <w:szCs w:val="24"/>
                <w:lang w:val="en-US" w:eastAsia="zh-CN"/>
                <w14:textFill>
                  <w14:solidFill>
                    <w14:schemeClr w14:val="tx1"/>
                  </w14:solidFill>
                </w14:textFill>
              </w:rPr>
              <w:t>明材料</w:t>
            </w:r>
            <w:r>
              <w:rPr>
                <w:rFonts w:hint="eastAsia" w:ascii="宋体" w:hAnsi="宋体"/>
                <w:color w:val="000000" w:themeColor="text1"/>
                <w:sz w:val="24"/>
                <w:szCs w:val="24"/>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2.具备在高校从事共享电动车经营服务合作经验。</w:t>
            </w:r>
          </w:p>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经验丰富（5个及以上）得4分、经验较丰富（1个-4个）以下得2分、无经验得0分。以投标人近三年与高校签署的合同数量作为判断标准，提供合同关键页复印件加盖投标人公章，否则不予计分。（0-4分）</w:t>
            </w: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3.车辆定位：具有卫星导航高精度定位系统，精度不超过1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分，超过1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米得0分。（需提供检测报告及认证证书复印件并加盖投标人公章）（0-3分）</w:t>
            </w:r>
          </w:p>
        </w:tc>
        <w:tc>
          <w:tcPr>
            <w:tcW w:w="851"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4.骑行保险：提供为骑行者购买骑行安全保险证明材料复印件（须包含意外伤残事故、意外医疗、三者责任险），有保险提供证明复印件的，得3分，没有保险或无法提供证明得0分。（0-3分）</w:t>
            </w: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5.校方监管方案：对接学校智慧平台，实现相关数据共享，精确掌握校园车辆状态，需提供校方专属的监账号。可展示校内所投车辆数量及骑行次数、骑行潮汐轨迹、规范停车区等。（0-4分）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方案详细具体、针对性强、可行性高，得4分；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方案基本完整、有一定针对性、可行性一般，得2分；</w:t>
            </w:r>
          </w:p>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方案不完整、缺乏针对性、可行性差，得0分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6.运营环境建设方案：针对本项目情况，在正式运营前进行相关运营环境的建设。（0-4分）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方案详细具体、针对性强、可行性高，得4分；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方案基本完整、有一定针对性、可行性一般，得2分；</w:t>
            </w:r>
          </w:p>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方案不完整、缺乏针对性、可行性差，得0分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7.日常运维管理方案：投标人需针对本项目情况，提供完整的日常运维管理方案，特别在车辆调度和停放秩序管理方面。（0-4分）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方案详细具体、针对性强、可行性高，得4分；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方案基本完整、有一定针对性、可行性一般，得2分；</w:t>
            </w:r>
          </w:p>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方案不完整、缺乏针对性、可行性差，得0分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8.出险理赔服务方案：投标人需针对本项目情况，提供完整的出险赔偿机制、流程服务方案（须包含意外伤残事故、意外医疗、三者责任险）。（0-4分）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方案详细具体、针对性强、可行性高，得4分；</w:t>
            </w:r>
          </w:p>
          <w:p>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方案基本完整、有一定针对性、可行性一般，得2分；</w:t>
            </w:r>
          </w:p>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方案不完整、缺乏针对性、可行性差，得0分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2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
                <w:sz w:val="24"/>
                <w:szCs w:val="24"/>
              </w:rPr>
            </w:pPr>
            <w:r>
              <w:rPr>
                <w:rFonts w:hint="eastAsia" w:ascii="宋体" w:hAnsi="宋体"/>
                <w:b/>
                <w:sz w:val="24"/>
                <w:szCs w:val="24"/>
              </w:rPr>
              <w:t>价格及服务</w:t>
            </w:r>
          </w:p>
          <w:p>
            <w:pPr>
              <w:widowControl/>
              <w:spacing w:line="360" w:lineRule="auto"/>
              <w:jc w:val="left"/>
              <w:rPr>
                <w:rFonts w:ascii="宋体" w:hAnsi="宋体"/>
                <w:b/>
                <w:sz w:val="24"/>
                <w:szCs w:val="24"/>
              </w:rPr>
            </w:pPr>
            <w:r>
              <w:rPr>
                <w:rFonts w:hint="eastAsia" w:ascii="宋体" w:hAnsi="宋体"/>
                <w:b/>
                <w:sz w:val="24"/>
                <w:szCs w:val="24"/>
              </w:rPr>
              <w:t>（7</w:t>
            </w:r>
            <w:r>
              <w:rPr>
                <w:rFonts w:ascii="宋体" w:hAnsi="宋体"/>
                <w:b/>
                <w:sz w:val="24"/>
                <w:szCs w:val="24"/>
              </w:rPr>
              <w:t>0</w:t>
            </w:r>
            <w:r>
              <w:rPr>
                <w:rFonts w:hint="eastAsia" w:ascii="宋体" w:hAnsi="宋体"/>
                <w:b/>
                <w:sz w:val="24"/>
                <w:szCs w:val="24"/>
              </w:rPr>
              <w:t>分）</w:t>
            </w:r>
          </w:p>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right w:val="single" w:color="auto" w:sz="4" w:space="0"/>
            </w:tcBorders>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1.骑行收费：电动车使用无需缴纳押金，学校师生以打9折优惠为基准，</w:t>
            </w:r>
            <w:r>
              <w:rPr>
                <w:rFonts w:hint="eastAsia" w:ascii="宋体" w:hAnsi="宋体"/>
                <w:color w:val="000000" w:themeColor="text1"/>
                <w:sz w:val="24"/>
                <w:szCs w:val="24"/>
                <w:lang w:eastAsia="zh-CN"/>
                <w14:textFill>
                  <w14:solidFill>
                    <w14:schemeClr w14:val="tx1"/>
                  </w14:solidFill>
                </w14:textFill>
              </w:rPr>
              <w:t>下浮</w:t>
            </w:r>
            <w:r>
              <w:rPr>
                <w:rFonts w:hint="eastAsia" w:ascii="宋体" w:hAnsi="宋体"/>
                <w:color w:val="000000" w:themeColor="text1"/>
                <w:sz w:val="24"/>
                <w:szCs w:val="24"/>
                <w:lang w:val="en-US" w:eastAsia="zh-CN"/>
                <w14:textFill>
                  <w14:solidFill>
                    <w14:schemeClr w14:val="tx1"/>
                  </w14:solidFill>
                </w14:textFill>
              </w:rPr>
              <w:t>5</w:t>
            </w:r>
            <w:bookmarkStart w:id="33" w:name="_GoBack"/>
            <w:bookmarkEnd w:id="33"/>
            <w:r>
              <w:rPr>
                <w:rFonts w:hint="eastAsia" w:ascii="宋体" w:hAnsi="宋体"/>
                <w:color w:val="000000" w:themeColor="text1"/>
                <w:sz w:val="24"/>
                <w:szCs w:val="24"/>
                <w14:textFill>
                  <w14:solidFill>
                    <w14:schemeClr w14:val="tx1"/>
                  </w14:solidFill>
                </w14:textFill>
              </w:rPr>
              <w:t>%计5分，以此递推。（0-</w:t>
            </w: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分）</w:t>
            </w:r>
          </w:p>
        </w:tc>
        <w:tc>
          <w:tcPr>
            <w:tcW w:w="851" w:type="dxa"/>
            <w:tcBorders>
              <w:top w:val="single" w:color="auto" w:sz="4" w:space="0"/>
              <w:left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vMerge w:val="continue"/>
            <w:tcBorders>
              <w:left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p>
        </w:tc>
        <w:tc>
          <w:tcPr>
            <w:tcW w:w="7087"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2.校园安防物资赞助：以5万元为基准，增加0.5万计5分，以此递推。（0-30分）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526"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szCs w:val="24"/>
              </w:rPr>
            </w:pPr>
          </w:p>
        </w:tc>
        <w:tc>
          <w:tcPr>
            <w:tcW w:w="7087"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sz w:val="24"/>
                <w:szCs w:val="24"/>
              </w:rPr>
            </w:pPr>
            <w:r>
              <w:rPr>
                <w:rFonts w:hint="eastAsia" w:ascii="宋体" w:hAnsi="宋体"/>
                <w:sz w:val="24"/>
                <w:szCs w:val="24"/>
              </w:rPr>
              <w:t>3.回购师生电动车：需针对本校情况，提出有关师生自有电动车回购合理化方案及回购承诺书，按回购50辆计5分，以此递推。（0-15分）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sz w:val="24"/>
                <w:szCs w:val="24"/>
              </w:rPr>
            </w:pPr>
            <w:r>
              <w:rPr>
                <w:rFonts w:hint="eastAsia" w:ascii="宋体" w:hAnsi="宋体"/>
                <w:b/>
                <w:sz w:val="24"/>
                <w:szCs w:val="24"/>
              </w:rPr>
              <w:t>总分</w:t>
            </w:r>
          </w:p>
        </w:tc>
        <w:tc>
          <w:tcPr>
            <w:tcW w:w="8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1200" w:firstLineChars="500"/>
              <w:rPr>
                <w:rFonts w:ascii="宋体" w:hAnsi="宋体"/>
                <w:sz w:val="24"/>
                <w:szCs w:val="24"/>
              </w:rPr>
            </w:pPr>
          </w:p>
        </w:tc>
      </w:tr>
    </w:tbl>
    <w:p>
      <w:pPr>
        <w:spacing w:line="360" w:lineRule="auto"/>
        <w:jc w:val="center"/>
        <w:rPr>
          <w:rFonts w:ascii="仿宋_GB2312" w:hAnsi="仿宋_GB2312" w:eastAsia="仿宋_GB2312" w:cs="仿宋_GB2312"/>
          <w:sz w:val="24"/>
          <w:szCs w:val="24"/>
        </w:rPr>
      </w:pPr>
    </w:p>
    <w:p>
      <w:pPr>
        <w:spacing w:line="360" w:lineRule="auto"/>
        <w:ind w:firstLine="3150" w:firstLineChars="1046"/>
        <w:rPr>
          <w:b/>
          <w:sz w:val="30"/>
          <w:szCs w:val="30"/>
          <w:highlight w:val="yellow"/>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r>
        <w:rPr>
          <w:rFonts w:hint="eastAsia"/>
          <w:b/>
          <w:sz w:val="30"/>
          <w:szCs w:val="30"/>
        </w:rPr>
        <w:t>第六章  响应文件格式</w:t>
      </w:r>
    </w:p>
    <w:p>
      <w:pPr>
        <w:spacing w:line="360" w:lineRule="auto"/>
        <w:jc w:val="center"/>
        <w:rPr>
          <w:rFonts w:ascii="宋体" w:hAnsi="宋体"/>
          <w:b/>
          <w:color w:val="0D0D0D"/>
          <w:sz w:val="32"/>
        </w:rPr>
      </w:pPr>
    </w:p>
    <w:p>
      <w:pPr>
        <w:spacing w:line="360" w:lineRule="auto"/>
        <w:jc w:val="right"/>
        <w:rPr>
          <w:rFonts w:ascii="宋体" w:hAnsi="宋体"/>
          <w:b/>
          <w:color w:val="0D0D0D"/>
          <w:sz w:val="32"/>
        </w:rPr>
      </w:pPr>
      <w:r>
        <w:rPr>
          <w:rFonts w:hint="eastAsia" w:ascii="宋体" w:hAnsi="宋体"/>
          <w:b/>
          <w:color w:val="0D0D0D"/>
          <w:sz w:val="32"/>
        </w:rPr>
        <w:t>正本或副本</w:t>
      </w:r>
    </w:p>
    <w:p>
      <w:pPr>
        <w:spacing w:line="360" w:lineRule="auto"/>
        <w:jc w:val="center"/>
        <w:rPr>
          <w:rFonts w:ascii="宋体" w:hAnsi="宋体"/>
          <w:b/>
          <w:color w:val="0D0D0D"/>
          <w:sz w:val="30"/>
        </w:rPr>
      </w:pPr>
      <w:r>
        <w:rPr>
          <w:rFonts w:hint="eastAsia" w:ascii="宋体" w:hAnsi="宋体"/>
          <w:b/>
          <w:color w:val="0D0D0D"/>
          <w:sz w:val="32"/>
        </w:rPr>
        <w:t>资信商务及技术文件封面</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ascii="宋体" w:hAnsi="宋体"/>
          <w:color w:val="0D0D0D"/>
          <w:sz w:val="36"/>
        </w:rPr>
        <w:t>采购编号：</w:t>
      </w:r>
    </w:p>
    <w:p>
      <w:pPr>
        <w:pStyle w:val="6"/>
        <w:spacing w:line="360" w:lineRule="auto"/>
        <w:ind w:firstLine="720"/>
        <w:rPr>
          <w:rFonts w:ascii="宋体" w:hAnsi="宋体"/>
          <w:color w:val="0D0D0D"/>
          <w:sz w:val="36"/>
        </w:rPr>
      </w:pPr>
    </w:p>
    <w:p>
      <w:pPr>
        <w:pStyle w:val="6"/>
        <w:spacing w:line="360" w:lineRule="auto"/>
        <w:ind w:firstLine="900" w:firstLineChars="250"/>
        <w:rPr>
          <w:rFonts w:ascii="宋体" w:hAnsi="宋体"/>
          <w:color w:val="0D0D0D"/>
          <w:sz w:val="36"/>
        </w:rPr>
      </w:pPr>
      <w:r>
        <w:rPr>
          <w:rFonts w:ascii="宋体" w:hAnsi="宋体"/>
          <w:color w:val="0D0D0D"/>
          <w:sz w:val="36"/>
        </w:rPr>
        <w:t>项目名称：</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响应</w:t>
      </w:r>
      <w:r>
        <w:rPr>
          <w:rFonts w:ascii="宋体" w:hAnsi="宋体"/>
          <w:color w:val="0D0D0D"/>
          <w:sz w:val="36"/>
        </w:rPr>
        <w:t>文件名称：</w:t>
      </w:r>
      <w:r>
        <w:rPr>
          <w:rFonts w:hint="eastAsia" w:ascii="宋体" w:hAnsi="宋体"/>
          <w:color w:val="0D0D0D"/>
          <w:sz w:val="36"/>
        </w:rPr>
        <w:t>资信商务及技术文件</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供应商</w:t>
      </w:r>
      <w:r>
        <w:rPr>
          <w:rFonts w:ascii="宋体" w:hAnsi="宋体"/>
          <w:color w:val="0D0D0D"/>
          <w:sz w:val="36"/>
        </w:rPr>
        <w:t>名称</w:t>
      </w:r>
      <w:r>
        <w:rPr>
          <w:rFonts w:hint="eastAsia" w:ascii="宋体" w:hAnsi="宋体"/>
          <w:color w:val="0D0D0D"/>
          <w:sz w:val="36"/>
        </w:rPr>
        <w:t>（加盖公章）</w:t>
      </w:r>
      <w:r>
        <w:rPr>
          <w:rFonts w:ascii="宋体" w:hAnsi="宋体"/>
          <w:color w:val="0D0D0D"/>
          <w:sz w:val="36"/>
        </w:rPr>
        <w:t>：</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法定代表人或授权代表签字：</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供应商</w:t>
      </w:r>
      <w:r>
        <w:rPr>
          <w:rFonts w:ascii="宋体" w:hAnsi="宋体"/>
          <w:color w:val="0D0D0D"/>
          <w:sz w:val="36"/>
        </w:rPr>
        <w:t>地址：</w:t>
      </w: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pacing w:line="360" w:lineRule="auto"/>
        <w:ind w:firstLine="3150" w:firstLineChars="1046"/>
        <w:rPr>
          <w:b/>
          <w:sz w:val="30"/>
          <w:szCs w:val="30"/>
        </w:rPr>
      </w:pPr>
    </w:p>
    <w:p>
      <w:pPr>
        <w:snapToGrid w:val="0"/>
        <w:spacing w:line="360" w:lineRule="auto"/>
        <w:ind w:firstLine="590" w:firstLineChars="196"/>
        <w:jc w:val="center"/>
        <w:rPr>
          <w:rFonts w:ascii="宋体" w:hAnsi="宋体"/>
          <w:b/>
          <w:sz w:val="30"/>
          <w:szCs w:val="30"/>
        </w:rPr>
      </w:pPr>
      <w:r>
        <w:rPr>
          <w:rFonts w:hint="eastAsia" w:ascii="宋体" w:hAnsi="宋体"/>
          <w:b/>
          <w:sz w:val="30"/>
          <w:szCs w:val="30"/>
        </w:rPr>
        <w:t>目录</w:t>
      </w:r>
    </w:p>
    <w:p>
      <w:pPr>
        <w:snapToGrid w:val="0"/>
        <w:spacing w:line="360" w:lineRule="auto"/>
        <w:ind w:firstLine="470" w:firstLineChars="196"/>
        <w:jc w:val="left"/>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法定代表人身份证明、</w:t>
      </w:r>
      <w:r>
        <w:rPr>
          <w:rFonts w:ascii="宋体" w:hAnsi="宋体"/>
          <w:sz w:val="24"/>
          <w:szCs w:val="24"/>
        </w:rPr>
        <w:t>法定代表人授权委托书</w:t>
      </w:r>
      <w:r>
        <w:rPr>
          <w:rFonts w:hint="eastAsia" w:ascii="宋体" w:hAnsi="宋体"/>
          <w:sz w:val="24"/>
          <w:szCs w:val="24"/>
        </w:rPr>
        <w:t>、授权代表身份证复印件（原件备查）</w:t>
      </w:r>
      <w:r>
        <w:rPr>
          <w:rFonts w:ascii="宋体" w:hAnsi="宋体"/>
          <w:sz w:val="24"/>
          <w:szCs w:val="24"/>
        </w:rPr>
        <w:t>；</w:t>
      </w:r>
    </w:p>
    <w:p>
      <w:pPr>
        <w:snapToGrid w:val="0"/>
        <w:spacing w:line="360" w:lineRule="auto"/>
        <w:ind w:firstLine="470" w:firstLineChars="196"/>
        <w:jc w:val="left"/>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提供有效的</w:t>
      </w:r>
      <w:r>
        <w:rPr>
          <w:rFonts w:ascii="宋体" w:hAnsi="宋体"/>
          <w:sz w:val="24"/>
          <w:szCs w:val="24"/>
        </w:rPr>
        <w:t>营业执照</w:t>
      </w:r>
      <w:r>
        <w:rPr>
          <w:rFonts w:hint="eastAsia" w:ascii="宋体" w:hAnsi="宋体"/>
          <w:sz w:val="24"/>
          <w:szCs w:val="24"/>
        </w:rPr>
        <w:t>复印件（均需加盖公章）；</w:t>
      </w:r>
    </w:p>
    <w:p>
      <w:pPr>
        <w:snapToGrid w:val="0"/>
        <w:spacing w:line="360" w:lineRule="auto"/>
        <w:ind w:firstLine="470" w:firstLineChars="196"/>
        <w:jc w:val="left"/>
        <w:rPr>
          <w:rFonts w:ascii="宋体" w:hAnsi="宋体"/>
          <w:sz w:val="24"/>
          <w:szCs w:val="24"/>
        </w:rPr>
      </w:pPr>
      <w:r>
        <w:rPr>
          <w:rFonts w:hint="eastAsia" w:ascii="宋体" w:hAnsi="宋体"/>
          <w:sz w:val="24"/>
          <w:szCs w:val="24"/>
        </w:rPr>
        <w:t>（3）提供采购公告中符合响应方特定条件要求的有效的其他资质及需要说明的资料。</w:t>
      </w:r>
    </w:p>
    <w:p>
      <w:pPr>
        <w:snapToGrid w:val="0"/>
        <w:spacing w:line="360" w:lineRule="auto"/>
        <w:ind w:firstLine="470" w:firstLineChars="196"/>
        <w:jc w:val="left"/>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类似案例成功的业绩（同类项目实施情况一览表、合同复印件、用户验收报告、用户评价等）；</w:t>
      </w:r>
    </w:p>
    <w:p>
      <w:pPr>
        <w:snapToGrid w:val="0"/>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供应商一般情况表；</w:t>
      </w:r>
    </w:p>
    <w:p>
      <w:pPr>
        <w:snapToGrid w:val="0"/>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pacing w:val="2"/>
          <w:sz w:val="24"/>
          <w:szCs w:val="24"/>
        </w:rPr>
        <w:t>共享电动车保险合同。（复印件）</w:t>
      </w:r>
    </w:p>
    <w:p>
      <w:pPr>
        <w:snapToGrid w:val="0"/>
        <w:spacing w:line="360" w:lineRule="auto"/>
        <w:ind w:firstLine="480" w:firstLineChars="200"/>
        <w:jc w:val="left"/>
        <w:rPr>
          <w:sz w:val="24"/>
          <w:szCs w:val="24"/>
        </w:rPr>
      </w:pPr>
      <w:r>
        <w:rPr>
          <w:rFonts w:hint="eastAsia"/>
          <w:sz w:val="24"/>
          <w:szCs w:val="24"/>
        </w:rPr>
        <w:t>（7）共享电动车停放工程建设方案，包括但不限于以下内容：</w:t>
      </w:r>
    </w:p>
    <w:p>
      <w:pPr>
        <w:snapToGrid w:val="0"/>
        <w:spacing w:line="360" w:lineRule="auto"/>
        <w:ind w:firstLine="480" w:firstLineChars="200"/>
        <w:jc w:val="left"/>
        <w:rPr>
          <w:sz w:val="24"/>
          <w:szCs w:val="24"/>
        </w:rPr>
      </w:pPr>
      <w:r>
        <w:rPr>
          <w:rFonts w:hint="eastAsia"/>
          <w:sz w:val="24"/>
          <w:szCs w:val="24"/>
        </w:rPr>
        <w:t xml:space="preserve">     1）工程投资预算；</w:t>
      </w:r>
    </w:p>
    <w:p>
      <w:pPr>
        <w:snapToGrid w:val="0"/>
        <w:spacing w:line="360" w:lineRule="auto"/>
        <w:ind w:firstLine="480" w:firstLineChars="200"/>
        <w:jc w:val="left"/>
        <w:rPr>
          <w:sz w:val="24"/>
          <w:szCs w:val="24"/>
        </w:rPr>
      </w:pPr>
      <w:r>
        <w:rPr>
          <w:rFonts w:hint="eastAsia"/>
          <w:sz w:val="24"/>
          <w:szCs w:val="24"/>
        </w:rPr>
        <w:t xml:space="preserve">     2）工程设计图纸；</w:t>
      </w:r>
    </w:p>
    <w:p>
      <w:pPr>
        <w:pStyle w:val="53"/>
        <w:numPr>
          <w:ilvl w:val="0"/>
          <w:numId w:val="5"/>
        </w:numPr>
        <w:snapToGrid w:val="0"/>
        <w:spacing w:line="360" w:lineRule="auto"/>
        <w:ind w:firstLineChars="0"/>
        <w:jc w:val="left"/>
        <w:rPr>
          <w:sz w:val="24"/>
          <w:szCs w:val="24"/>
        </w:rPr>
      </w:pPr>
      <w:r>
        <w:rPr>
          <w:rFonts w:hint="eastAsia"/>
          <w:sz w:val="24"/>
          <w:szCs w:val="24"/>
        </w:rPr>
        <w:t>投入设备说明。</w:t>
      </w:r>
    </w:p>
    <w:p>
      <w:pPr>
        <w:snapToGrid w:val="0"/>
        <w:spacing w:line="360" w:lineRule="auto"/>
        <w:ind w:firstLine="480" w:firstLineChars="200"/>
        <w:jc w:val="left"/>
        <w:rPr>
          <w:sz w:val="24"/>
          <w:szCs w:val="24"/>
        </w:rPr>
      </w:pPr>
      <w:r>
        <w:rPr>
          <w:rFonts w:hint="eastAsia"/>
          <w:sz w:val="24"/>
          <w:szCs w:val="24"/>
        </w:rPr>
        <w:t>（8）运营方案，包括但不限于以下内容：</w:t>
      </w:r>
    </w:p>
    <w:p>
      <w:pPr>
        <w:snapToGrid w:val="0"/>
        <w:spacing w:line="360" w:lineRule="auto"/>
        <w:ind w:firstLine="480" w:firstLineChars="200"/>
        <w:jc w:val="left"/>
        <w:rPr>
          <w:sz w:val="24"/>
          <w:szCs w:val="24"/>
        </w:rPr>
      </w:pPr>
      <w:r>
        <w:rPr>
          <w:rFonts w:hint="eastAsia"/>
          <w:sz w:val="24"/>
          <w:szCs w:val="24"/>
        </w:rPr>
        <w:t xml:space="preserve">     1）运营优势；</w:t>
      </w:r>
    </w:p>
    <w:p>
      <w:pPr>
        <w:snapToGrid w:val="0"/>
        <w:spacing w:line="360" w:lineRule="auto"/>
        <w:ind w:firstLine="480" w:firstLineChars="200"/>
        <w:jc w:val="left"/>
        <w:rPr>
          <w:sz w:val="24"/>
          <w:szCs w:val="24"/>
        </w:rPr>
      </w:pPr>
      <w:r>
        <w:rPr>
          <w:rFonts w:hint="eastAsia"/>
          <w:sz w:val="24"/>
          <w:szCs w:val="24"/>
        </w:rPr>
        <w:t xml:space="preserve">     2）项目组织架构与管理团队；</w:t>
      </w:r>
    </w:p>
    <w:p>
      <w:pPr>
        <w:snapToGrid w:val="0"/>
        <w:spacing w:line="360" w:lineRule="auto"/>
        <w:ind w:firstLine="480" w:firstLineChars="200"/>
        <w:jc w:val="left"/>
        <w:rPr>
          <w:sz w:val="24"/>
          <w:szCs w:val="24"/>
        </w:rPr>
      </w:pPr>
      <w:r>
        <w:rPr>
          <w:rFonts w:hint="eastAsia"/>
          <w:sz w:val="24"/>
          <w:szCs w:val="24"/>
        </w:rPr>
        <w:t xml:space="preserve">     3）运营流程；</w:t>
      </w:r>
    </w:p>
    <w:p>
      <w:pPr>
        <w:snapToGrid w:val="0"/>
        <w:spacing w:line="360" w:lineRule="auto"/>
        <w:ind w:firstLine="480" w:firstLineChars="200"/>
        <w:jc w:val="left"/>
        <w:rPr>
          <w:sz w:val="24"/>
          <w:szCs w:val="24"/>
        </w:rPr>
      </w:pPr>
      <w:r>
        <w:rPr>
          <w:rFonts w:hint="eastAsia"/>
          <w:sz w:val="24"/>
          <w:szCs w:val="24"/>
        </w:rPr>
        <w:t xml:space="preserve">     4）管理制度；</w:t>
      </w:r>
    </w:p>
    <w:p>
      <w:pPr>
        <w:pStyle w:val="53"/>
        <w:numPr>
          <w:ilvl w:val="0"/>
          <w:numId w:val="5"/>
        </w:numPr>
        <w:snapToGrid w:val="0"/>
        <w:spacing w:line="360" w:lineRule="auto"/>
        <w:ind w:firstLineChars="0"/>
        <w:jc w:val="left"/>
        <w:rPr>
          <w:sz w:val="24"/>
          <w:szCs w:val="24"/>
        </w:rPr>
      </w:pPr>
      <w:r>
        <w:rPr>
          <w:rFonts w:hint="eastAsia"/>
          <w:sz w:val="24"/>
          <w:szCs w:val="24"/>
        </w:rPr>
        <w:t>对校园内共享电动车的流量分析以及应对方案。</w:t>
      </w:r>
    </w:p>
    <w:p>
      <w:pPr>
        <w:snapToGrid w:val="0"/>
        <w:spacing w:line="360" w:lineRule="auto"/>
        <w:ind w:firstLine="480" w:firstLineChars="200"/>
        <w:jc w:val="left"/>
        <w:rPr>
          <w:sz w:val="24"/>
          <w:szCs w:val="24"/>
        </w:rPr>
      </w:pPr>
      <w:r>
        <w:rPr>
          <w:rFonts w:hint="eastAsia"/>
          <w:sz w:val="24"/>
          <w:szCs w:val="24"/>
        </w:rPr>
        <w:t>（9）服务与承诺，包括但不限于以下内容：</w:t>
      </w:r>
    </w:p>
    <w:p>
      <w:pPr>
        <w:snapToGrid w:val="0"/>
        <w:spacing w:line="360" w:lineRule="auto"/>
        <w:ind w:firstLine="480" w:firstLineChars="200"/>
        <w:jc w:val="left"/>
        <w:rPr>
          <w:sz w:val="24"/>
          <w:szCs w:val="24"/>
        </w:rPr>
      </w:pPr>
      <w:r>
        <w:rPr>
          <w:rFonts w:hint="eastAsia"/>
          <w:sz w:val="24"/>
          <w:szCs w:val="24"/>
        </w:rPr>
        <w:t xml:space="preserve">    1）服务的标准；</w:t>
      </w:r>
    </w:p>
    <w:p>
      <w:pPr>
        <w:snapToGrid w:val="0"/>
        <w:spacing w:line="360" w:lineRule="auto"/>
        <w:ind w:firstLine="480" w:firstLineChars="200"/>
        <w:jc w:val="left"/>
        <w:rPr>
          <w:sz w:val="24"/>
          <w:szCs w:val="24"/>
        </w:rPr>
      </w:pPr>
      <w:r>
        <w:rPr>
          <w:rFonts w:hint="eastAsia"/>
          <w:sz w:val="24"/>
          <w:szCs w:val="24"/>
        </w:rPr>
        <w:t xml:space="preserve">    2）增值服务；</w:t>
      </w:r>
    </w:p>
    <w:p>
      <w:pPr>
        <w:snapToGrid w:val="0"/>
        <w:spacing w:line="360" w:lineRule="auto"/>
        <w:ind w:firstLine="480" w:firstLineChars="200"/>
        <w:jc w:val="left"/>
        <w:rPr>
          <w:sz w:val="24"/>
          <w:szCs w:val="24"/>
        </w:rPr>
      </w:pPr>
      <w:r>
        <w:rPr>
          <w:rFonts w:hint="eastAsia"/>
          <w:sz w:val="24"/>
          <w:szCs w:val="24"/>
        </w:rPr>
        <w:t xml:space="preserve">    3）电瓶车符合国家标准、安全、质量等相关承诺；</w:t>
      </w:r>
    </w:p>
    <w:p>
      <w:pPr>
        <w:snapToGrid w:val="0"/>
        <w:spacing w:line="360" w:lineRule="auto"/>
        <w:ind w:firstLine="480" w:firstLineChars="200"/>
        <w:jc w:val="left"/>
        <w:rPr>
          <w:sz w:val="24"/>
          <w:szCs w:val="24"/>
        </w:rPr>
      </w:pPr>
      <w:r>
        <w:rPr>
          <w:rFonts w:hint="eastAsia"/>
          <w:sz w:val="24"/>
          <w:szCs w:val="24"/>
        </w:rPr>
        <w:t xml:space="preserve">    4）问题车处理措施；</w:t>
      </w:r>
    </w:p>
    <w:p>
      <w:pPr>
        <w:snapToGrid w:val="0"/>
        <w:spacing w:line="360" w:lineRule="auto"/>
        <w:ind w:firstLine="480" w:firstLineChars="200"/>
        <w:jc w:val="left"/>
        <w:rPr>
          <w:sz w:val="24"/>
          <w:szCs w:val="24"/>
        </w:rPr>
      </w:pPr>
      <w:r>
        <w:rPr>
          <w:rFonts w:hint="eastAsia"/>
          <w:sz w:val="24"/>
          <w:szCs w:val="24"/>
        </w:rPr>
        <w:t xml:space="preserve">    5）特殊情况应急措施（如发生车祸、出现火灾等突发情况的应急预案）。</w:t>
      </w:r>
    </w:p>
    <w:p>
      <w:pPr>
        <w:snapToGrid w:val="0"/>
        <w:spacing w:line="360" w:lineRule="auto"/>
        <w:ind w:firstLine="480" w:firstLineChars="200"/>
        <w:jc w:val="left"/>
        <w:rPr>
          <w:sz w:val="24"/>
          <w:szCs w:val="24"/>
        </w:rPr>
      </w:pPr>
      <w:r>
        <w:rPr>
          <w:rFonts w:hint="eastAsia"/>
          <w:sz w:val="24"/>
          <w:szCs w:val="24"/>
        </w:rPr>
        <w:t xml:space="preserve">    6）安全保证资料（保险额度、车速限速技术、电动车品质证明等）。</w:t>
      </w:r>
    </w:p>
    <w:p>
      <w:pPr>
        <w:snapToGrid w:val="0"/>
        <w:spacing w:line="360" w:lineRule="auto"/>
        <w:ind w:firstLine="960" w:firstLineChars="400"/>
        <w:jc w:val="left"/>
        <w:rPr>
          <w:sz w:val="24"/>
          <w:szCs w:val="24"/>
        </w:rPr>
      </w:pPr>
      <w:r>
        <w:rPr>
          <w:rFonts w:hint="eastAsia"/>
          <w:sz w:val="24"/>
          <w:szCs w:val="24"/>
        </w:rPr>
        <w:t>7）针对运营管理过程中与校方的配合程度、交通安全事故责任、学生个人信息、车辆维护等方面的责任保证书。</w:t>
      </w:r>
    </w:p>
    <w:p>
      <w:pPr>
        <w:snapToGrid w:val="0"/>
        <w:spacing w:line="360" w:lineRule="auto"/>
        <w:ind w:firstLine="480" w:firstLineChars="200"/>
        <w:jc w:val="left"/>
        <w:rPr>
          <w:sz w:val="24"/>
          <w:szCs w:val="24"/>
        </w:rPr>
      </w:pPr>
      <w:r>
        <w:rPr>
          <w:rFonts w:hint="eastAsia"/>
          <w:sz w:val="24"/>
          <w:szCs w:val="24"/>
        </w:rPr>
        <w:t>（10）供应商认为需要提供的与本次磋商和评审评分有关的资料。</w:t>
      </w:r>
    </w:p>
    <w:p>
      <w:pPr>
        <w:spacing w:line="360" w:lineRule="auto"/>
        <w:rPr>
          <w:b/>
          <w:sz w:val="30"/>
          <w:szCs w:val="30"/>
        </w:rPr>
      </w:pPr>
      <w:r>
        <w:rPr>
          <w:rFonts w:hint="eastAsia"/>
          <w:b/>
          <w:sz w:val="30"/>
          <w:szCs w:val="30"/>
        </w:rPr>
        <w:t xml:space="preserve">    注：以上部分格式详见附件，其他格式由供应商自拟。</w:t>
      </w:r>
    </w:p>
    <w:p>
      <w:pPr>
        <w:spacing w:afterLines="50" w:line="360" w:lineRule="auto"/>
        <w:rPr>
          <w:b/>
          <w:sz w:val="28"/>
        </w:rPr>
      </w:pPr>
      <w:r>
        <w:rPr>
          <w:rFonts w:hint="eastAsia"/>
          <w:b/>
          <w:sz w:val="24"/>
        </w:rPr>
        <w:t>附件一</w:t>
      </w:r>
    </w:p>
    <w:p>
      <w:pPr>
        <w:spacing w:line="360" w:lineRule="auto"/>
        <w:jc w:val="center"/>
        <w:rPr>
          <w:b/>
          <w:sz w:val="30"/>
          <w:szCs w:val="30"/>
        </w:rPr>
      </w:pPr>
      <w:r>
        <w:rPr>
          <w:rFonts w:hint="eastAsia"/>
          <w:b/>
          <w:sz w:val="30"/>
          <w:szCs w:val="30"/>
        </w:rPr>
        <w:t>法定代表人身份证明</w:t>
      </w:r>
    </w:p>
    <w:p>
      <w:pPr>
        <w:spacing w:after="50" w:line="360" w:lineRule="auto"/>
      </w:pPr>
    </w:p>
    <w:p>
      <w:pPr>
        <w:spacing w:after="50" w:line="360" w:lineRule="auto"/>
      </w:pPr>
    </w:p>
    <w:p>
      <w:pPr>
        <w:spacing w:after="50" w:line="360" w:lineRule="auto"/>
        <w:rPr>
          <w:sz w:val="24"/>
          <w:szCs w:val="24"/>
        </w:rPr>
      </w:pPr>
      <w:r>
        <w:rPr>
          <w:rFonts w:hint="eastAsia"/>
          <w:sz w:val="24"/>
          <w:szCs w:val="24"/>
          <w:u w:val="single"/>
        </w:rPr>
        <w:t>丽水学院保卫处</w:t>
      </w:r>
      <w:r>
        <w:rPr>
          <w:rFonts w:hint="eastAsia"/>
          <w:sz w:val="24"/>
          <w:szCs w:val="24"/>
        </w:rPr>
        <w:t>：</w:t>
      </w:r>
    </w:p>
    <w:p>
      <w:pPr>
        <w:spacing w:after="50" w:line="360" w:lineRule="auto"/>
        <w:ind w:firstLine="1920" w:firstLineChars="800"/>
        <w:rPr>
          <w:sz w:val="24"/>
          <w:szCs w:val="24"/>
        </w:rPr>
      </w:pPr>
    </w:p>
    <w:p>
      <w:pPr>
        <w:spacing w:after="50" w:line="360" w:lineRule="auto"/>
        <w:ind w:firstLine="480" w:firstLineChars="200"/>
        <w:rPr>
          <w:sz w:val="24"/>
          <w:szCs w:val="24"/>
        </w:rPr>
      </w:pPr>
      <w:r>
        <w:rPr>
          <w:rFonts w:hint="eastAsia"/>
          <w:sz w:val="24"/>
          <w:szCs w:val="24"/>
        </w:rPr>
        <w:t>姓名：</w:t>
      </w:r>
      <w:r>
        <w:rPr>
          <w:rFonts w:hint="eastAsia"/>
          <w:sz w:val="24"/>
          <w:szCs w:val="24"/>
          <w:u w:val="single"/>
        </w:rPr>
        <w:t>　　　　　　</w:t>
      </w:r>
      <w:r>
        <w:rPr>
          <w:rFonts w:hint="eastAsia"/>
          <w:sz w:val="24"/>
          <w:szCs w:val="24"/>
        </w:rPr>
        <w:t>性别：</w:t>
      </w:r>
      <w:r>
        <w:rPr>
          <w:rFonts w:hint="eastAsia"/>
          <w:sz w:val="24"/>
          <w:szCs w:val="24"/>
          <w:u w:val="single"/>
        </w:rPr>
        <w:t>　　　　</w:t>
      </w:r>
      <w:r>
        <w:rPr>
          <w:rFonts w:hint="eastAsia"/>
          <w:sz w:val="24"/>
          <w:szCs w:val="24"/>
        </w:rPr>
        <w:t>年龄：</w:t>
      </w:r>
      <w:r>
        <w:rPr>
          <w:rFonts w:hint="eastAsia"/>
          <w:sz w:val="24"/>
          <w:szCs w:val="24"/>
          <w:u w:val="single"/>
        </w:rPr>
        <w:t>　　　　　　</w:t>
      </w:r>
      <w:r>
        <w:rPr>
          <w:rFonts w:hint="eastAsia"/>
          <w:sz w:val="24"/>
          <w:szCs w:val="24"/>
        </w:rPr>
        <w:t>职务：</w:t>
      </w:r>
      <w:r>
        <w:rPr>
          <w:rFonts w:hint="eastAsia"/>
          <w:sz w:val="24"/>
          <w:szCs w:val="24"/>
          <w:u w:val="single"/>
        </w:rPr>
        <w:t>　　　　　　　　　　</w:t>
      </w:r>
    </w:p>
    <w:p>
      <w:pPr>
        <w:pStyle w:val="9"/>
        <w:spacing w:after="50" w:line="360" w:lineRule="auto"/>
        <w:ind w:left="0" w:leftChars="0"/>
        <w:rPr>
          <w:sz w:val="24"/>
          <w:szCs w:val="24"/>
        </w:rPr>
      </w:pPr>
      <w:r>
        <w:rPr>
          <w:rFonts w:hint="eastAsia"/>
          <w:sz w:val="24"/>
          <w:szCs w:val="24"/>
        </w:rPr>
        <w:t>身份证号码系</w:t>
      </w:r>
      <w:r>
        <w:rPr>
          <w:rFonts w:hint="eastAsia"/>
          <w:sz w:val="24"/>
          <w:szCs w:val="24"/>
          <w:u w:val="single"/>
        </w:rPr>
        <w:t>　　　　　　　　　　</w:t>
      </w:r>
      <w:r>
        <w:rPr>
          <w:rFonts w:hint="eastAsia"/>
          <w:sz w:val="24"/>
          <w:szCs w:val="24"/>
        </w:rPr>
        <w:t>（供应商名称）的法定代表人。</w:t>
      </w:r>
    </w:p>
    <w:p>
      <w:pPr>
        <w:spacing w:after="50" w:line="360" w:lineRule="auto"/>
        <w:ind w:firstLine="480" w:firstLineChars="200"/>
        <w:rPr>
          <w:sz w:val="24"/>
          <w:szCs w:val="24"/>
        </w:rPr>
      </w:pPr>
      <w:r>
        <w:rPr>
          <w:rFonts w:hint="eastAsia"/>
          <w:sz w:val="24"/>
          <w:szCs w:val="24"/>
        </w:rPr>
        <w:t>特此证明。</w:t>
      </w:r>
    </w:p>
    <w:p>
      <w:pPr>
        <w:spacing w:after="50" w:line="360" w:lineRule="auto"/>
        <w:rPr>
          <w:sz w:val="24"/>
          <w:szCs w:val="24"/>
        </w:rPr>
      </w:pPr>
    </w:p>
    <w:p>
      <w:pPr>
        <w:spacing w:after="50" w:line="360" w:lineRule="auto"/>
        <w:rPr>
          <w:sz w:val="24"/>
          <w:szCs w:val="24"/>
        </w:rPr>
      </w:pPr>
      <w:r>
        <w:rPr>
          <w:rFonts w:hint="eastAsia"/>
          <w:sz w:val="24"/>
          <w:szCs w:val="24"/>
        </w:rPr>
        <w:t>　　　　　　　　　　</w:t>
      </w:r>
    </w:p>
    <w:p>
      <w:pPr>
        <w:spacing w:after="50" w:line="360" w:lineRule="auto"/>
        <w:ind w:firstLine="2400" w:firstLineChars="1000"/>
        <w:rPr>
          <w:sz w:val="24"/>
          <w:szCs w:val="24"/>
        </w:rPr>
      </w:pPr>
      <w:r>
        <w:rPr>
          <w:rFonts w:hint="eastAsia"/>
          <w:sz w:val="24"/>
          <w:szCs w:val="24"/>
        </w:rPr>
        <w:t>供应商：</w:t>
      </w:r>
      <w:r>
        <w:rPr>
          <w:rFonts w:hint="eastAsia"/>
          <w:sz w:val="24"/>
          <w:szCs w:val="24"/>
          <w:vertAlign w:val="subscript"/>
        </w:rPr>
        <w:t>　</w:t>
      </w:r>
      <w:r>
        <w:rPr>
          <w:rFonts w:hint="eastAsia"/>
          <w:sz w:val="24"/>
          <w:szCs w:val="24"/>
          <w:u w:val="single"/>
        </w:rPr>
        <w:t>　　　　　　　　　　　</w:t>
      </w:r>
      <w:r>
        <w:rPr>
          <w:rFonts w:hint="eastAsia"/>
          <w:sz w:val="24"/>
          <w:szCs w:val="24"/>
        </w:rPr>
        <w:t>（单位公章）</w:t>
      </w:r>
    </w:p>
    <w:p>
      <w:pPr>
        <w:spacing w:after="50" w:line="360" w:lineRule="auto"/>
        <w:ind w:firstLine="2400" w:firstLineChars="1000"/>
        <w:rPr>
          <w:sz w:val="24"/>
          <w:szCs w:val="24"/>
        </w:rPr>
      </w:pPr>
      <w:r>
        <w:rPr>
          <w:rFonts w:hint="eastAsia"/>
          <w:sz w:val="24"/>
          <w:szCs w:val="24"/>
        </w:rPr>
        <w:t>日期：　</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pPr>
        <w:spacing w:afterLines="50" w:line="360" w:lineRule="auto"/>
        <w:rPr>
          <w:b/>
          <w:sz w:val="24"/>
          <w:szCs w:val="24"/>
          <w:u w:val="single"/>
        </w:rPr>
      </w:pPr>
    </w:p>
    <w:p>
      <w:pPr>
        <w:spacing w:line="360" w:lineRule="auto"/>
        <w:jc w:val="center"/>
        <w:rPr>
          <w:b/>
          <w:sz w:val="24"/>
          <w:szCs w:val="24"/>
        </w:rPr>
      </w:pPr>
      <w:r>
        <w:rPr>
          <w:rFonts w:hint="eastAsia"/>
          <w:b/>
          <w:sz w:val="24"/>
          <w:szCs w:val="24"/>
        </w:rPr>
        <w:t>法定代表人身份证复印件粘贴处</w:t>
      </w:r>
    </w:p>
    <w:p>
      <w:pPr>
        <w:spacing w:line="360" w:lineRule="auto"/>
        <w:rPr>
          <w:b/>
          <w:sz w:val="28"/>
        </w:rPr>
      </w:pPr>
      <w:r>
        <w:rPr>
          <w:b/>
          <w:sz w:val="28"/>
        </w:rPr>
        <w:br w:type="page"/>
      </w:r>
      <w:r>
        <w:rPr>
          <w:rFonts w:hint="eastAsia"/>
          <w:b/>
          <w:sz w:val="28"/>
        </w:rPr>
        <w:t>附件二</w:t>
      </w:r>
    </w:p>
    <w:p>
      <w:pPr>
        <w:spacing w:line="360" w:lineRule="auto"/>
        <w:jc w:val="center"/>
        <w:rPr>
          <w:b/>
          <w:sz w:val="24"/>
          <w:szCs w:val="24"/>
        </w:rPr>
      </w:pPr>
      <w:r>
        <w:rPr>
          <w:rFonts w:hint="eastAsia"/>
          <w:b/>
          <w:sz w:val="24"/>
          <w:szCs w:val="24"/>
        </w:rPr>
        <w:t>法定代表人授权委托书</w:t>
      </w:r>
    </w:p>
    <w:p>
      <w:pPr>
        <w:spacing w:line="360" w:lineRule="auto"/>
        <w:rPr>
          <w:sz w:val="24"/>
          <w:szCs w:val="24"/>
        </w:rPr>
      </w:pPr>
    </w:p>
    <w:p>
      <w:pPr>
        <w:spacing w:line="360" w:lineRule="auto"/>
        <w:rPr>
          <w:sz w:val="24"/>
          <w:szCs w:val="24"/>
        </w:rPr>
      </w:pPr>
      <w:r>
        <w:rPr>
          <w:rFonts w:hint="eastAsia"/>
          <w:sz w:val="24"/>
          <w:szCs w:val="24"/>
        </w:rPr>
        <w:t>致</w:t>
      </w:r>
      <w:r>
        <w:rPr>
          <w:rFonts w:hint="eastAsia"/>
          <w:sz w:val="24"/>
          <w:szCs w:val="24"/>
          <w:u w:val="single"/>
        </w:rPr>
        <w:t>丽水学院保卫处</w:t>
      </w:r>
      <w:r>
        <w:rPr>
          <w:rFonts w:hint="eastAsia"/>
          <w:sz w:val="24"/>
          <w:szCs w:val="24"/>
        </w:rPr>
        <w:t>：</w:t>
      </w:r>
    </w:p>
    <w:p>
      <w:pPr>
        <w:snapToGrid w:val="0"/>
        <w:spacing w:beforeLines="50" w:after="50" w:line="360" w:lineRule="auto"/>
        <w:ind w:firstLine="480" w:firstLineChars="200"/>
        <w:rPr>
          <w:sz w:val="24"/>
          <w:szCs w:val="24"/>
        </w:rPr>
      </w:pPr>
      <w:r>
        <w:rPr>
          <w:rFonts w:hint="eastAsia"/>
          <w:sz w:val="24"/>
          <w:szCs w:val="24"/>
        </w:rPr>
        <w:t>本人</w:t>
      </w:r>
      <w:r>
        <w:rPr>
          <w:rFonts w:hint="eastAsia"/>
          <w:sz w:val="24"/>
          <w:szCs w:val="24"/>
          <w:u w:val="single"/>
        </w:rPr>
        <w:t>(姓名)</w:t>
      </w:r>
      <w:r>
        <w:rPr>
          <w:rFonts w:hint="eastAsia"/>
          <w:sz w:val="24"/>
          <w:szCs w:val="24"/>
        </w:rPr>
        <w:t>系（供应商全称）法定代表人，现授权委托本单位职工</w:t>
      </w:r>
      <w:r>
        <w:rPr>
          <w:rFonts w:hint="eastAsia"/>
          <w:sz w:val="24"/>
          <w:szCs w:val="24"/>
          <w:u w:val="single"/>
        </w:rPr>
        <w:t>（授权代表姓名）</w:t>
      </w:r>
      <w:r>
        <w:rPr>
          <w:rFonts w:hint="eastAsia"/>
          <w:sz w:val="24"/>
          <w:szCs w:val="24"/>
        </w:rPr>
        <w:t>以我方名义参加</w:t>
      </w:r>
      <w:r>
        <w:rPr>
          <w:rFonts w:hint="eastAsia"/>
          <w:sz w:val="24"/>
          <w:szCs w:val="24"/>
          <w:u w:val="single"/>
        </w:rPr>
        <w:t>（项目名称）</w:t>
      </w:r>
      <w:r>
        <w:rPr>
          <w:rFonts w:hint="eastAsia"/>
          <w:sz w:val="24"/>
          <w:szCs w:val="24"/>
        </w:rPr>
        <w:t>的磋商活动，并代表我方全权办理针对上述项目的磋商、签约等具体事务和签署相关文件。</w:t>
      </w:r>
    </w:p>
    <w:p>
      <w:pPr>
        <w:snapToGrid w:val="0"/>
        <w:spacing w:beforeLines="50" w:after="50" w:line="360" w:lineRule="auto"/>
        <w:ind w:firstLine="480" w:firstLineChars="200"/>
        <w:rPr>
          <w:sz w:val="24"/>
          <w:szCs w:val="24"/>
        </w:rPr>
      </w:pPr>
      <w:r>
        <w:rPr>
          <w:rFonts w:hint="eastAsia"/>
          <w:sz w:val="24"/>
          <w:szCs w:val="24"/>
        </w:rPr>
        <w:t>我方对被授权人的签名负全部责任。</w:t>
      </w:r>
    </w:p>
    <w:p>
      <w:pPr>
        <w:snapToGrid w:val="0"/>
        <w:spacing w:beforeLines="50" w:after="50" w:line="360" w:lineRule="auto"/>
        <w:ind w:firstLine="480" w:firstLineChars="200"/>
        <w:rPr>
          <w:sz w:val="24"/>
          <w:szCs w:val="24"/>
        </w:rPr>
      </w:pPr>
      <w:r>
        <w:rPr>
          <w:rFonts w:hint="eastAsia"/>
          <w:sz w:val="24"/>
          <w:szCs w:val="24"/>
        </w:rPr>
        <w:t>在撤销授权的书面通知以前，本授权书一直有效。被授权人在授权书有效期内签署的所有文件不因授权的撤销而失效。</w:t>
      </w:r>
    </w:p>
    <w:p>
      <w:pPr>
        <w:snapToGrid w:val="0"/>
        <w:spacing w:beforeLines="50" w:after="50" w:line="360" w:lineRule="auto"/>
        <w:ind w:firstLine="480" w:firstLineChars="200"/>
        <w:rPr>
          <w:sz w:val="24"/>
          <w:szCs w:val="24"/>
        </w:rPr>
      </w:pPr>
      <w:r>
        <w:rPr>
          <w:rFonts w:hint="eastAsia"/>
          <w:sz w:val="24"/>
          <w:szCs w:val="24"/>
        </w:rPr>
        <w:t>被授权人无转委托权，特此委托。</w:t>
      </w:r>
    </w:p>
    <w:p>
      <w:pPr>
        <w:spacing w:line="360" w:lineRule="auto"/>
        <w:rPr>
          <w:sz w:val="24"/>
          <w:szCs w:val="24"/>
        </w:rPr>
      </w:pPr>
    </w:p>
    <w:p>
      <w:pPr>
        <w:spacing w:line="360" w:lineRule="auto"/>
        <w:ind w:left="3090" w:firstLine="312"/>
        <w:rPr>
          <w:sz w:val="24"/>
          <w:szCs w:val="24"/>
        </w:rPr>
      </w:pPr>
      <w:r>
        <w:rPr>
          <w:rFonts w:hint="eastAsia"/>
          <w:sz w:val="24"/>
          <w:szCs w:val="24"/>
        </w:rPr>
        <w:t>供应商：</w:t>
      </w:r>
      <w:r>
        <w:rPr>
          <w:rFonts w:hint="eastAsia"/>
          <w:sz w:val="24"/>
          <w:szCs w:val="24"/>
          <w:u w:val="single"/>
        </w:rPr>
        <w:t>　　　　　　　　　</w:t>
      </w:r>
      <w:r>
        <w:rPr>
          <w:rFonts w:hint="eastAsia"/>
          <w:sz w:val="24"/>
          <w:szCs w:val="24"/>
        </w:rPr>
        <w:t>（公章）</w:t>
      </w:r>
    </w:p>
    <w:p>
      <w:pPr>
        <w:spacing w:line="360" w:lineRule="auto"/>
        <w:ind w:left="3090" w:firstLine="312"/>
        <w:rPr>
          <w:sz w:val="24"/>
          <w:szCs w:val="24"/>
        </w:rPr>
      </w:pPr>
      <w:r>
        <w:rPr>
          <w:rFonts w:hint="eastAsia"/>
          <w:sz w:val="24"/>
          <w:szCs w:val="24"/>
        </w:rPr>
        <w:t>法定代表人：</w:t>
      </w:r>
      <w:r>
        <w:rPr>
          <w:rFonts w:hint="eastAsia"/>
          <w:sz w:val="24"/>
          <w:szCs w:val="24"/>
          <w:u w:val="single"/>
        </w:rPr>
        <w:t>　　　　　　　　　</w:t>
      </w:r>
      <w:r>
        <w:rPr>
          <w:rFonts w:hint="eastAsia"/>
          <w:sz w:val="24"/>
          <w:szCs w:val="24"/>
        </w:rPr>
        <w:t>（签字）</w:t>
      </w:r>
    </w:p>
    <w:p>
      <w:pPr>
        <w:spacing w:line="360" w:lineRule="auto"/>
        <w:ind w:left="3090" w:firstLine="312"/>
        <w:rPr>
          <w:sz w:val="24"/>
          <w:szCs w:val="24"/>
        </w:rPr>
      </w:pPr>
      <w:r>
        <w:rPr>
          <w:rFonts w:hint="eastAsia"/>
          <w:sz w:val="24"/>
          <w:szCs w:val="24"/>
        </w:rPr>
        <w:t>联系电话：</w:t>
      </w:r>
    </w:p>
    <w:p>
      <w:pPr>
        <w:spacing w:line="360" w:lineRule="auto"/>
        <w:ind w:left="3090" w:firstLine="312"/>
        <w:rPr>
          <w:sz w:val="24"/>
          <w:szCs w:val="24"/>
        </w:rPr>
      </w:pPr>
      <w:r>
        <w:rPr>
          <w:rFonts w:hint="eastAsia"/>
          <w:sz w:val="24"/>
          <w:szCs w:val="24"/>
        </w:rPr>
        <w:t>身份证号码：</w:t>
      </w:r>
      <w:r>
        <w:rPr>
          <w:rFonts w:hint="eastAsia"/>
          <w:sz w:val="24"/>
          <w:szCs w:val="24"/>
          <w:u w:val="single"/>
        </w:rPr>
        <w:t>　　　　</w:t>
      </w:r>
    </w:p>
    <w:p>
      <w:pPr>
        <w:spacing w:line="360" w:lineRule="auto"/>
        <w:ind w:left="3090" w:firstLine="312"/>
        <w:rPr>
          <w:sz w:val="24"/>
          <w:szCs w:val="24"/>
        </w:rPr>
      </w:pPr>
      <w:r>
        <w:rPr>
          <w:rFonts w:hint="eastAsia"/>
          <w:sz w:val="24"/>
          <w:szCs w:val="24"/>
        </w:rPr>
        <w:t>被授权人：</w:t>
      </w:r>
      <w:r>
        <w:rPr>
          <w:rFonts w:hint="eastAsia"/>
          <w:sz w:val="24"/>
          <w:szCs w:val="24"/>
          <w:u w:val="single"/>
        </w:rPr>
        <w:t>　　　　　　　　　</w:t>
      </w:r>
      <w:r>
        <w:rPr>
          <w:rFonts w:hint="eastAsia"/>
          <w:sz w:val="24"/>
          <w:szCs w:val="24"/>
        </w:rPr>
        <w:t>（签字）</w:t>
      </w:r>
    </w:p>
    <w:p>
      <w:pPr>
        <w:spacing w:line="360" w:lineRule="auto"/>
        <w:ind w:left="3090" w:firstLine="312"/>
        <w:rPr>
          <w:sz w:val="24"/>
          <w:szCs w:val="24"/>
        </w:rPr>
      </w:pPr>
      <w:r>
        <w:rPr>
          <w:rFonts w:hint="eastAsia"/>
          <w:sz w:val="24"/>
          <w:szCs w:val="24"/>
        </w:rPr>
        <w:t>身份证号码：</w:t>
      </w:r>
      <w:r>
        <w:rPr>
          <w:rFonts w:hint="eastAsia"/>
          <w:sz w:val="24"/>
          <w:szCs w:val="24"/>
          <w:u w:val="single"/>
        </w:rPr>
        <w:t>　　　　</w:t>
      </w:r>
      <w:r>
        <w:rPr>
          <w:rFonts w:hint="eastAsia"/>
          <w:sz w:val="24"/>
          <w:szCs w:val="24"/>
        </w:rPr>
        <w:t>　</w:t>
      </w:r>
    </w:p>
    <w:p>
      <w:pPr>
        <w:spacing w:line="360" w:lineRule="auto"/>
        <w:ind w:left="3089" w:leftChars="1471" w:firstLine="312" w:firstLineChars="130"/>
        <w:rPr>
          <w:sz w:val="24"/>
          <w:szCs w:val="24"/>
        </w:rPr>
      </w:pPr>
      <w:r>
        <w:rPr>
          <w:rFonts w:hint="eastAsia"/>
          <w:sz w:val="24"/>
          <w:szCs w:val="24"/>
        </w:rPr>
        <w:t>联系电话：</w:t>
      </w:r>
    </w:p>
    <w:p>
      <w:pPr>
        <w:spacing w:line="360" w:lineRule="auto"/>
        <w:ind w:left="3090" w:right="600" w:firstLine="312"/>
        <w:jc w:val="center"/>
        <w:rPr>
          <w:sz w:val="24"/>
          <w:szCs w:val="24"/>
        </w:rPr>
      </w:pPr>
      <w:r>
        <w:rPr>
          <w:rFonts w:hint="eastAsia"/>
          <w:sz w:val="24"/>
          <w:szCs w:val="24"/>
        </w:rPr>
        <w:t>年月日</w:t>
      </w:r>
    </w:p>
    <w:p>
      <w:pPr>
        <w:spacing w:afterLines="50" w:line="360" w:lineRule="auto"/>
        <w:rPr>
          <w:b/>
          <w:sz w:val="28"/>
          <w:u w:val="single"/>
        </w:rPr>
      </w:pPr>
    </w:p>
    <w:p>
      <w:pPr>
        <w:spacing w:line="360" w:lineRule="auto"/>
        <w:jc w:val="center"/>
        <w:rPr>
          <w:b/>
          <w:sz w:val="28"/>
        </w:rPr>
      </w:pPr>
      <w:r>
        <w:rPr>
          <w:rFonts w:hint="eastAsia"/>
          <w:b/>
          <w:sz w:val="28"/>
        </w:rPr>
        <w:t>授权代表身份证复印件粘贴处</w:t>
      </w:r>
    </w:p>
    <w:p>
      <w:pPr>
        <w:spacing w:line="360" w:lineRule="auto"/>
        <w:ind w:right="600"/>
        <w:rPr>
          <w:sz w:val="30"/>
          <w:szCs w:val="30"/>
        </w:rPr>
      </w:pPr>
    </w:p>
    <w:p>
      <w:pPr>
        <w:spacing w:line="360" w:lineRule="auto"/>
        <w:rPr>
          <w:b/>
          <w:sz w:val="30"/>
          <w:szCs w:val="30"/>
        </w:rPr>
      </w:pPr>
    </w:p>
    <w:p>
      <w:pPr>
        <w:spacing w:line="360" w:lineRule="auto"/>
        <w:rPr>
          <w:b/>
          <w:sz w:val="30"/>
          <w:szCs w:val="30"/>
        </w:rPr>
      </w:pPr>
    </w:p>
    <w:p>
      <w:pPr>
        <w:spacing w:line="360" w:lineRule="auto"/>
        <w:rPr>
          <w:b/>
          <w:sz w:val="30"/>
          <w:szCs w:val="30"/>
        </w:rPr>
      </w:pPr>
    </w:p>
    <w:p>
      <w:pPr>
        <w:spacing w:line="360" w:lineRule="auto"/>
        <w:rPr>
          <w:b/>
          <w:sz w:val="28"/>
        </w:rPr>
      </w:pPr>
      <w:r>
        <w:rPr>
          <w:rFonts w:hint="eastAsia"/>
          <w:b/>
          <w:sz w:val="28"/>
        </w:rPr>
        <w:t>附件三</w:t>
      </w:r>
    </w:p>
    <w:p>
      <w:pPr>
        <w:spacing w:line="360" w:lineRule="auto"/>
        <w:jc w:val="center"/>
        <w:rPr>
          <w:b/>
          <w:sz w:val="24"/>
          <w:szCs w:val="24"/>
        </w:rPr>
      </w:pPr>
      <w:r>
        <w:rPr>
          <w:rFonts w:hint="eastAsia"/>
          <w:b/>
          <w:sz w:val="24"/>
          <w:szCs w:val="24"/>
        </w:rPr>
        <w:t>供应商一般情况</w:t>
      </w:r>
    </w:p>
    <w:p>
      <w:pPr>
        <w:spacing w:line="360" w:lineRule="auto"/>
        <w:ind w:left="540" w:firstLine="30"/>
        <w:jc w:val="center"/>
        <w:rPr>
          <w:rFonts w:ascii="宋体" w:hAnsi="宋体"/>
          <w:b/>
          <w:sz w:val="24"/>
          <w:szCs w:val="24"/>
        </w:rPr>
      </w:pPr>
    </w:p>
    <w:tbl>
      <w:tblPr>
        <w:tblStyle w:val="22"/>
        <w:tblW w:w="928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8550" w:type="dxa"/>
            <w:gridSpan w:val="3"/>
            <w:vAlign w:val="center"/>
          </w:tcPr>
          <w:p>
            <w:pPr>
              <w:spacing w:line="360" w:lineRule="auto"/>
              <w:rPr>
                <w:rFonts w:ascii="宋体" w:hAnsi="宋体"/>
                <w:sz w:val="24"/>
                <w:szCs w:val="24"/>
              </w:rPr>
            </w:pPr>
            <w:r>
              <w:rPr>
                <w:rFonts w:hint="eastAsia" w:ascii="宋体" w:hAnsi="宋体"/>
                <w:sz w:val="24"/>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8550" w:type="dxa"/>
            <w:gridSpan w:val="3"/>
            <w:vAlign w:val="center"/>
          </w:tcPr>
          <w:p>
            <w:pPr>
              <w:spacing w:line="360" w:lineRule="auto"/>
              <w:rPr>
                <w:rFonts w:ascii="宋体" w:hAnsi="宋体"/>
                <w:sz w:val="24"/>
                <w:szCs w:val="24"/>
              </w:rPr>
            </w:pPr>
            <w:r>
              <w:rPr>
                <w:rFonts w:hint="eastAsia" w:ascii="宋体" w:hAnsi="宋体"/>
                <w:sz w:val="24"/>
                <w:szCs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8550" w:type="dxa"/>
            <w:gridSpan w:val="3"/>
            <w:vAlign w:val="center"/>
          </w:tcPr>
          <w:p>
            <w:pPr>
              <w:spacing w:line="360" w:lineRule="auto"/>
              <w:rPr>
                <w:rFonts w:ascii="宋体" w:hAnsi="宋体"/>
                <w:sz w:val="24"/>
                <w:szCs w:val="24"/>
              </w:rPr>
            </w:pPr>
            <w:r>
              <w:rPr>
                <w:rFonts w:hint="eastAsia" w:ascii="宋体" w:hAnsi="宋体"/>
                <w:sz w:val="24"/>
                <w:szCs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4305" w:type="dxa"/>
            <w:gridSpan w:val="2"/>
            <w:vAlign w:val="center"/>
          </w:tcPr>
          <w:p>
            <w:pPr>
              <w:spacing w:line="360" w:lineRule="auto"/>
              <w:rPr>
                <w:rFonts w:ascii="宋体" w:hAnsi="宋体"/>
                <w:sz w:val="24"/>
                <w:szCs w:val="24"/>
              </w:rPr>
            </w:pPr>
            <w:r>
              <w:rPr>
                <w:rFonts w:hint="eastAsia" w:ascii="宋体" w:hAnsi="宋体"/>
                <w:sz w:val="24"/>
                <w:szCs w:val="24"/>
              </w:rPr>
              <w:t>电话：</w:t>
            </w:r>
          </w:p>
        </w:tc>
        <w:tc>
          <w:tcPr>
            <w:tcW w:w="4245" w:type="dxa"/>
            <w:vAlign w:val="center"/>
          </w:tcPr>
          <w:p>
            <w:pPr>
              <w:spacing w:line="360" w:lineRule="auto"/>
              <w:rPr>
                <w:rFonts w:ascii="宋体" w:hAnsi="宋体"/>
                <w:sz w:val="24"/>
                <w:szCs w:val="24"/>
              </w:rPr>
            </w:pPr>
            <w:r>
              <w:rPr>
                <w:rFonts w:hint="eastAsia" w:ascii="宋体" w:hAnsi="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4305" w:type="dxa"/>
            <w:gridSpan w:val="2"/>
            <w:vAlign w:val="center"/>
          </w:tcPr>
          <w:p>
            <w:pPr>
              <w:spacing w:line="360" w:lineRule="auto"/>
              <w:rPr>
                <w:rFonts w:ascii="宋体" w:hAnsi="宋体"/>
                <w:sz w:val="24"/>
                <w:szCs w:val="24"/>
              </w:rPr>
            </w:pPr>
            <w:r>
              <w:rPr>
                <w:rFonts w:hint="eastAsia" w:ascii="宋体" w:hAnsi="宋体"/>
                <w:sz w:val="24"/>
                <w:szCs w:val="24"/>
              </w:rPr>
              <w:t>传真：</w:t>
            </w:r>
          </w:p>
        </w:tc>
        <w:tc>
          <w:tcPr>
            <w:tcW w:w="4245" w:type="dxa"/>
            <w:vAlign w:val="center"/>
          </w:tcPr>
          <w:p>
            <w:pPr>
              <w:spacing w:line="360" w:lineRule="auto"/>
              <w:rPr>
                <w:rFonts w:ascii="宋体" w:hAnsi="宋体"/>
                <w:sz w:val="24"/>
                <w:szCs w:val="24"/>
              </w:rPr>
            </w:pPr>
            <w:r>
              <w:rPr>
                <w:rFonts w:hint="eastAsia" w:ascii="宋体" w:hAnsi="宋体"/>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4305" w:type="dxa"/>
            <w:gridSpan w:val="2"/>
            <w:vAlign w:val="center"/>
          </w:tcPr>
          <w:p>
            <w:pPr>
              <w:spacing w:line="360" w:lineRule="auto"/>
              <w:rPr>
                <w:rFonts w:ascii="宋体" w:hAnsi="宋体"/>
                <w:sz w:val="24"/>
                <w:szCs w:val="24"/>
              </w:rPr>
            </w:pPr>
            <w:r>
              <w:rPr>
                <w:rFonts w:hint="eastAsia" w:ascii="宋体" w:hAnsi="宋体"/>
                <w:sz w:val="24"/>
                <w:szCs w:val="24"/>
              </w:rPr>
              <w:t>注册地：</w:t>
            </w:r>
          </w:p>
        </w:tc>
        <w:tc>
          <w:tcPr>
            <w:tcW w:w="4245" w:type="dxa"/>
            <w:vAlign w:val="center"/>
          </w:tcPr>
          <w:p>
            <w:pPr>
              <w:spacing w:line="360" w:lineRule="auto"/>
              <w:rPr>
                <w:rFonts w:ascii="宋体" w:hAnsi="宋体"/>
                <w:sz w:val="24"/>
                <w:szCs w:val="24"/>
              </w:rPr>
            </w:pPr>
            <w:r>
              <w:rPr>
                <w:rFonts w:hint="eastAsia" w:ascii="宋体" w:hAnsi="宋体"/>
                <w:sz w:val="24"/>
                <w:szCs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8550" w:type="dxa"/>
            <w:gridSpan w:val="3"/>
            <w:vAlign w:val="center"/>
          </w:tcPr>
          <w:p>
            <w:pPr>
              <w:spacing w:line="360" w:lineRule="auto"/>
              <w:rPr>
                <w:rFonts w:ascii="宋体" w:hAnsi="宋体"/>
                <w:sz w:val="24"/>
                <w:szCs w:val="24"/>
              </w:rPr>
            </w:pPr>
            <w:r>
              <w:rPr>
                <w:rFonts w:hint="eastAsia" w:ascii="宋体" w:hAnsi="宋体"/>
                <w:sz w:val="24"/>
                <w:szCs w:val="24"/>
              </w:rPr>
              <w:t>是否有快递经营许可证：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8550" w:type="dxa"/>
            <w:gridSpan w:val="3"/>
            <w:vAlign w:val="center"/>
          </w:tcPr>
          <w:p>
            <w:pPr>
              <w:spacing w:line="360" w:lineRule="auto"/>
              <w:rPr>
                <w:rFonts w:ascii="宋体" w:hAnsi="宋体"/>
                <w:sz w:val="24"/>
                <w:szCs w:val="24"/>
              </w:rPr>
            </w:pPr>
            <w:r>
              <w:rPr>
                <w:rFonts w:hint="eastAsia" w:ascii="宋体" w:hAnsi="宋体"/>
                <w:sz w:val="24"/>
                <w:szCs w:val="24"/>
              </w:rPr>
              <w:t>获得过何等奖项：</w:t>
            </w:r>
          </w:p>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35"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2520" w:type="dxa"/>
            <w:vAlign w:val="center"/>
          </w:tcPr>
          <w:p>
            <w:pPr>
              <w:spacing w:line="360" w:lineRule="auto"/>
              <w:rPr>
                <w:rFonts w:ascii="宋体" w:hAnsi="宋体"/>
                <w:sz w:val="24"/>
                <w:szCs w:val="24"/>
              </w:rPr>
            </w:pPr>
            <w:r>
              <w:rPr>
                <w:rFonts w:hint="eastAsia" w:ascii="宋体" w:hAnsi="宋体"/>
                <w:sz w:val="24"/>
                <w:szCs w:val="24"/>
              </w:rPr>
              <w:t>其他需要说明的情况</w:t>
            </w:r>
          </w:p>
        </w:tc>
        <w:tc>
          <w:tcPr>
            <w:tcW w:w="6030" w:type="dxa"/>
            <w:gridSpan w:val="2"/>
            <w:vAlign w:val="center"/>
          </w:tcPr>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sz w:val="24"/>
          <w:szCs w:val="24"/>
        </w:rPr>
        <w:t>注：所有供应商都须填写此表。</w:t>
      </w:r>
    </w:p>
    <w:p>
      <w:pPr>
        <w:spacing w:line="360" w:lineRule="auto"/>
        <w:ind w:right="480" w:firstLine="4800" w:firstLineChars="2000"/>
        <w:rPr>
          <w:rFonts w:ascii="宋体" w:hAnsi="宋体"/>
          <w:sz w:val="24"/>
          <w:szCs w:val="24"/>
        </w:rPr>
      </w:pPr>
    </w:p>
    <w:p>
      <w:pPr>
        <w:spacing w:line="360" w:lineRule="auto"/>
        <w:ind w:right="480" w:firstLine="4800" w:firstLineChars="2000"/>
        <w:rPr>
          <w:rFonts w:ascii="宋体" w:hAnsi="宋体"/>
          <w:smallCaps/>
          <w:sz w:val="24"/>
          <w:szCs w:val="24"/>
        </w:rPr>
      </w:pPr>
      <w:r>
        <w:rPr>
          <w:rFonts w:hint="eastAsia" w:ascii="宋体" w:hAnsi="宋体"/>
          <w:smallCaps/>
          <w:sz w:val="24"/>
          <w:szCs w:val="24"/>
        </w:rPr>
        <w:t>供应商（盖章）：</w:t>
      </w:r>
    </w:p>
    <w:p>
      <w:pPr>
        <w:spacing w:line="360" w:lineRule="auto"/>
        <w:ind w:right="480" w:firstLine="4800" w:firstLineChars="2000"/>
        <w:rPr>
          <w:rFonts w:ascii="宋体" w:hAnsi="宋体"/>
          <w:smallCaps/>
          <w:sz w:val="24"/>
          <w:szCs w:val="24"/>
        </w:rPr>
      </w:pPr>
      <w:r>
        <w:rPr>
          <w:rFonts w:hint="eastAsia" w:ascii="宋体" w:hAnsi="宋体"/>
          <w:smallCaps/>
          <w:sz w:val="24"/>
          <w:szCs w:val="24"/>
        </w:rPr>
        <w:t>法定代表人或授权代表签字：</w:t>
      </w:r>
    </w:p>
    <w:p>
      <w:pPr>
        <w:spacing w:line="360" w:lineRule="auto"/>
        <w:ind w:right="480" w:firstLine="5760" w:firstLineChars="2400"/>
        <w:rPr>
          <w:sz w:val="24"/>
          <w:szCs w:val="24"/>
        </w:rPr>
      </w:pPr>
      <w:r>
        <w:rPr>
          <w:rFonts w:hint="eastAsia"/>
          <w:sz w:val="24"/>
          <w:szCs w:val="24"/>
        </w:rPr>
        <w:t>年月日</w:t>
      </w:r>
    </w:p>
    <w:p>
      <w:pPr>
        <w:spacing w:line="360" w:lineRule="auto"/>
        <w:rPr>
          <w:b/>
          <w:sz w:val="24"/>
          <w:szCs w:val="24"/>
        </w:rPr>
      </w:pPr>
      <w:r>
        <w:rPr>
          <w:b/>
          <w:sz w:val="30"/>
          <w:szCs w:val="30"/>
        </w:rPr>
        <w:br w:type="page"/>
      </w:r>
      <w:r>
        <w:rPr>
          <w:rFonts w:hint="eastAsia"/>
          <w:b/>
          <w:sz w:val="24"/>
          <w:szCs w:val="24"/>
        </w:rPr>
        <w:t>附件四</w:t>
      </w:r>
    </w:p>
    <w:p>
      <w:pPr>
        <w:spacing w:line="360" w:lineRule="auto"/>
        <w:jc w:val="center"/>
        <w:rPr>
          <w:b/>
          <w:sz w:val="24"/>
          <w:szCs w:val="24"/>
        </w:rPr>
      </w:pPr>
      <w:r>
        <w:rPr>
          <w:rFonts w:hint="eastAsia"/>
          <w:b/>
          <w:sz w:val="24"/>
          <w:szCs w:val="24"/>
        </w:rPr>
        <w:t>磋商响应函</w:t>
      </w:r>
    </w:p>
    <w:p>
      <w:pPr>
        <w:spacing w:line="360" w:lineRule="auto"/>
        <w:rPr>
          <w:sz w:val="24"/>
          <w:szCs w:val="24"/>
        </w:rPr>
      </w:pPr>
      <w:r>
        <w:rPr>
          <w:rFonts w:hint="eastAsia"/>
          <w:sz w:val="24"/>
          <w:szCs w:val="24"/>
        </w:rPr>
        <w:t>致：丽水学院保卫处：</w:t>
      </w:r>
    </w:p>
    <w:p>
      <w:pPr>
        <w:spacing w:after="50" w:line="360" w:lineRule="auto"/>
        <w:ind w:firstLine="480" w:firstLineChars="200"/>
        <w:rPr>
          <w:rFonts w:ascii="宋体" w:hAnsi="宋体"/>
          <w:sz w:val="24"/>
          <w:szCs w:val="24"/>
        </w:rPr>
      </w:pPr>
      <w:r>
        <w:rPr>
          <w:rFonts w:ascii="宋体" w:hAnsi="宋体"/>
          <w:sz w:val="24"/>
          <w:szCs w:val="24"/>
          <w:u w:val="single"/>
        </w:rPr>
        <w:t>(</w:t>
      </w:r>
      <w:r>
        <w:rPr>
          <w:rFonts w:hint="eastAsia" w:ascii="宋体" w:hAnsi="宋体"/>
          <w:sz w:val="24"/>
          <w:szCs w:val="24"/>
          <w:u w:val="single"/>
        </w:rPr>
        <w:t>供应商全称</w:t>
      </w:r>
      <w:r>
        <w:rPr>
          <w:rFonts w:ascii="宋体" w:hAnsi="宋体"/>
          <w:sz w:val="24"/>
          <w:szCs w:val="24"/>
          <w:u w:val="single"/>
        </w:rPr>
        <w:t>)</w:t>
      </w:r>
      <w:r>
        <w:rPr>
          <w:rFonts w:hint="eastAsia" w:ascii="宋体" w:hAnsi="宋体"/>
          <w:sz w:val="24"/>
          <w:szCs w:val="24"/>
        </w:rPr>
        <w:t>授权</w:t>
      </w:r>
      <w:r>
        <w:rPr>
          <w:rFonts w:hint="eastAsia" w:ascii="宋体" w:hAnsi="宋体"/>
          <w:sz w:val="24"/>
          <w:szCs w:val="24"/>
          <w:u w:val="single"/>
        </w:rPr>
        <w:t>（全名、职务）</w:t>
      </w:r>
      <w:r>
        <w:rPr>
          <w:rFonts w:hint="eastAsia" w:ascii="宋体" w:hAnsi="宋体"/>
          <w:sz w:val="24"/>
          <w:szCs w:val="24"/>
        </w:rPr>
        <w:t>为授权代表，参加贵方组织的</w:t>
      </w:r>
      <w:r>
        <w:rPr>
          <w:rFonts w:hint="eastAsia" w:ascii="宋体" w:hAnsi="宋体"/>
          <w:sz w:val="24"/>
          <w:szCs w:val="24"/>
          <w:u w:val="single"/>
        </w:rPr>
        <w:t>（竞争性磋商项目名称）（编号为）</w:t>
      </w:r>
      <w:r>
        <w:rPr>
          <w:rFonts w:hint="eastAsia" w:ascii="宋体" w:hAnsi="宋体"/>
          <w:sz w:val="24"/>
          <w:szCs w:val="24"/>
        </w:rPr>
        <w:t>竞争性磋商有关活动，并递交响应文件。为此，我方谨郑重声明以下几点并对之负法律责任。</w:t>
      </w:r>
    </w:p>
    <w:p>
      <w:pPr>
        <w:spacing w:after="50"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我方向贵方提交的所有</w:t>
      </w:r>
      <w:r>
        <w:rPr>
          <w:rFonts w:hint="eastAsia" w:ascii="宋体" w:hAnsi="宋体"/>
          <w:sz w:val="24"/>
          <w:szCs w:val="24"/>
        </w:rPr>
        <w:t>磋商响应</w:t>
      </w:r>
      <w:r>
        <w:rPr>
          <w:rFonts w:ascii="宋体" w:hAnsi="宋体"/>
          <w:sz w:val="24"/>
          <w:szCs w:val="24"/>
        </w:rPr>
        <w:t>文件、资料都是准确的和真实的</w:t>
      </w:r>
      <w:r>
        <w:rPr>
          <w:rFonts w:hint="eastAsia" w:ascii="宋体" w:hAnsi="宋体"/>
          <w:sz w:val="24"/>
          <w:szCs w:val="24"/>
        </w:rPr>
        <w:t>。</w:t>
      </w:r>
    </w:p>
    <w:p>
      <w:pPr>
        <w:spacing w:after="50" w:line="360" w:lineRule="auto"/>
        <w:ind w:firstLine="460" w:firstLineChars="192"/>
        <w:rPr>
          <w:rFonts w:ascii="宋体" w:hAnsi="宋体"/>
          <w:sz w:val="24"/>
          <w:szCs w:val="24"/>
        </w:rPr>
      </w:pPr>
      <w:r>
        <w:rPr>
          <w:rFonts w:hint="eastAsia" w:ascii="宋体" w:hAnsi="宋体"/>
          <w:sz w:val="24"/>
          <w:szCs w:val="24"/>
        </w:rPr>
        <w:t>2.我方已详细审查全部磋商文件，包括磋商文件的补充文件。我方完全理解并同意放弃对这方面有不明及误解的权力并完全接受磋商文件的规定，对磋商文件的合理性、合法性不再有异议。如果磋商文件有相互矛盾之处，我方同意按招标方与贵中心的解释处理。</w:t>
      </w:r>
    </w:p>
    <w:p>
      <w:pPr>
        <w:spacing w:after="50" w:line="360" w:lineRule="auto"/>
        <w:ind w:left="5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3.我方提交的磋商响应文件为：</w:t>
      </w:r>
    </w:p>
    <w:p>
      <w:pPr>
        <w:spacing w:after="50" w:line="360" w:lineRule="auto"/>
        <w:ind w:firstLine="840" w:firstLineChars="3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a</w:t>
      </w:r>
      <w:r>
        <w:rPr>
          <w:rFonts w:hint="eastAsia" w:ascii="宋体" w:hAnsi="宋体"/>
          <w:color w:val="000000" w:themeColor="text1"/>
          <w:sz w:val="24"/>
          <w:szCs w:val="24"/>
          <w14:textFill>
            <w14:solidFill>
              <w14:schemeClr w14:val="tx1"/>
            </w14:solidFill>
          </w14:textFill>
        </w:rPr>
        <w:t>．资信商务及技术文件正本份、副本　　份；正本份，副本　　份；</w:t>
      </w:r>
    </w:p>
    <w:p>
      <w:pPr>
        <w:spacing w:after="50" w:line="360" w:lineRule="auto"/>
        <w:ind w:left="481" w:leftChars="229" w:firstLine="360" w:firstLineChars="1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b</w:t>
      </w:r>
      <w:r>
        <w:rPr>
          <w:rFonts w:hint="eastAsia" w:ascii="宋体" w:hAnsi="宋体"/>
          <w:color w:val="000000" w:themeColor="text1"/>
          <w:sz w:val="24"/>
          <w:szCs w:val="24"/>
          <w14:textFill>
            <w14:solidFill>
              <w14:schemeClr w14:val="tx1"/>
            </w14:solidFill>
          </w14:textFill>
        </w:rPr>
        <w:t>．以（形式）提供履约保证金元人民币；</w:t>
      </w:r>
    </w:p>
    <w:p>
      <w:pPr>
        <w:tabs>
          <w:tab w:val="left" w:pos="900"/>
        </w:tabs>
        <w:spacing w:line="360" w:lineRule="auto"/>
        <w:ind w:firstLine="480" w:firstLineChars="200"/>
        <w:jc w:val="left"/>
        <w:rPr>
          <w:rFonts w:ascii="宋体" w:hAnsi="宋体"/>
          <w:sz w:val="24"/>
          <w:szCs w:val="24"/>
        </w:rPr>
      </w:pPr>
      <w:r>
        <w:rPr>
          <w:rFonts w:hint="eastAsia" w:ascii="宋体" w:hAnsi="宋体"/>
          <w:sz w:val="24"/>
          <w:szCs w:val="24"/>
        </w:rPr>
        <w:t>4.我方将按竞争性磋商文件规定履行合同责任和义务。</w:t>
      </w:r>
    </w:p>
    <w:p>
      <w:pPr>
        <w:tabs>
          <w:tab w:val="left" w:pos="900"/>
        </w:tabs>
        <w:spacing w:line="360" w:lineRule="auto"/>
        <w:ind w:firstLine="480" w:firstLineChars="200"/>
        <w:jc w:val="left"/>
        <w:rPr>
          <w:rFonts w:ascii="宋体" w:hAnsi="宋体"/>
          <w:sz w:val="24"/>
          <w:szCs w:val="24"/>
        </w:rPr>
      </w:pPr>
      <w:r>
        <w:rPr>
          <w:rFonts w:hint="eastAsia" w:ascii="宋体" w:hAnsi="宋体"/>
          <w:sz w:val="24"/>
          <w:szCs w:val="24"/>
        </w:rPr>
        <w:t>5.磋商文件、磋商文件补充修改通知、技术规范、成交通知书和本响应文件及磋商期间形成的承诺、报价等都将构成约束双方的合同。</w:t>
      </w:r>
    </w:p>
    <w:p>
      <w:pPr>
        <w:spacing w:after="50" w:line="360" w:lineRule="auto"/>
        <w:ind w:firstLine="480" w:firstLineChars="200"/>
        <w:rPr>
          <w:rFonts w:ascii="宋体" w:hAnsi="宋体"/>
          <w:sz w:val="24"/>
          <w:szCs w:val="24"/>
        </w:rPr>
      </w:pPr>
      <w:r>
        <w:rPr>
          <w:rFonts w:hint="eastAsia" w:ascii="宋体" w:hAnsi="宋体"/>
          <w:sz w:val="24"/>
          <w:szCs w:val="24"/>
        </w:rPr>
        <w:t>6.如果我方在规定的磋商响应有效期内撤回磋商响应，自愿放弃退回履约保证金的权力。</w:t>
      </w:r>
    </w:p>
    <w:p>
      <w:pPr>
        <w:spacing w:after="50" w:line="360" w:lineRule="auto"/>
        <w:ind w:firstLine="480" w:firstLineChars="200"/>
        <w:rPr>
          <w:rFonts w:ascii="宋体" w:hAnsi="宋体"/>
          <w:sz w:val="24"/>
          <w:szCs w:val="24"/>
        </w:rPr>
      </w:pPr>
      <w:r>
        <w:rPr>
          <w:rFonts w:hint="eastAsia" w:ascii="宋体" w:hAnsi="宋体"/>
          <w:sz w:val="24"/>
          <w:szCs w:val="24"/>
        </w:rPr>
        <w:t>7.我方同意提供按照贵方可能要求的与其磋商有关的一切数据或资料，并保证其真实性、合法性，理解贵方不一定要选低价的项目。</w:t>
      </w:r>
    </w:p>
    <w:p>
      <w:pPr>
        <w:spacing w:after="50" w:line="360" w:lineRule="auto"/>
        <w:ind w:firstLine="480" w:firstLineChars="200"/>
        <w:rPr>
          <w:rFonts w:ascii="宋体" w:hAnsi="宋体"/>
          <w:sz w:val="24"/>
          <w:szCs w:val="24"/>
        </w:rPr>
      </w:pPr>
      <w:r>
        <w:rPr>
          <w:rFonts w:hint="eastAsia" w:ascii="宋体" w:hAnsi="宋体"/>
          <w:sz w:val="24"/>
          <w:szCs w:val="24"/>
        </w:rPr>
        <w:t>8.我方的磋商响应文件在磋商之日起个工作日内有效。</w:t>
      </w:r>
    </w:p>
    <w:p>
      <w:pPr>
        <w:spacing w:after="50" w:line="360" w:lineRule="auto"/>
        <w:ind w:firstLine="480" w:firstLineChars="200"/>
        <w:rPr>
          <w:rFonts w:ascii="宋体" w:hAnsi="宋体"/>
          <w:sz w:val="24"/>
          <w:szCs w:val="24"/>
        </w:rPr>
      </w:pPr>
      <w:r>
        <w:rPr>
          <w:rFonts w:hint="eastAsia" w:ascii="宋体" w:hAnsi="宋体"/>
          <w:sz w:val="24"/>
          <w:szCs w:val="24"/>
        </w:rPr>
        <w:t>9.我方响应</w:t>
      </w:r>
      <w:r>
        <w:rPr>
          <w:rFonts w:ascii="宋体" w:hAnsi="宋体"/>
          <w:sz w:val="24"/>
          <w:szCs w:val="24"/>
        </w:rPr>
        <w:t>文件自</w:t>
      </w:r>
      <w:r>
        <w:rPr>
          <w:rFonts w:hint="eastAsia" w:ascii="宋体" w:hAnsi="宋体"/>
          <w:sz w:val="24"/>
          <w:szCs w:val="24"/>
        </w:rPr>
        <w:t>磋商</w:t>
      </w:r>
      <w:r>
        <w:rPr>
          <w:rFonts w:ascii="宋体" w:hAnsi="宋体"/>
          <w:sz w:val="24"/>
          <w:szCs w:val="24"/>
        </w:rPr>
        <w:t>之日起至合同履行完毕止均保持有效</w:t>
      </w:r>
      <w:r>
        <w:rPr>
          <w:rFonts w:hint="eastAsia" w:ascii="宋体" w:hAnsi="宋体"/>
          <w:sz w:val="24"/>
          <w:szCs w:val="24"/>
        </w:rPr>
        <w:t>。</w:t>
      </w:r>
    </w:p>
    <w:p>
      <w:pPr>
        <w:tabs>
          <w:tab w:val="left" w:pos="900"/>
        </w:tabs>
        <w:spacing w:line="360" w:lineRule="auto"/>
        <w:ind w:firstLine="480" w:firstLineChars="200"/>
        <w:jc w:val="left"/>
        <w:rPr>
          <w:rFonts w:ascii="宋体" w:hAnsi="宋体"/>
          <w:sz w:val="24"/>
          <w:szCs w:val="24"/>
        </w:rPr>
      </w:pPr>
      <w:r>
        <w:rPr>
          <w:rFonts w:hint="eastAsia" w:ascii="宋体" w:hAnsi="宋体"/>
          <w:sz w:val="24"/>
          <w:szCs w:val="24"/>
        </w:rPr>
        <w:t>我方与本项目竞争性磋商有关的一切正式来往通讯请寄：</w:t>
      </w:r>
    </w:p>
    <w:p>
      <w:pPr>
        <w:spacing w:line="360" w:lineRule="auto"/>
        <w:ind w:firstLine="480" w:firstLineChars="200"/>
        <w:jc w:val="left"/>
        <w:rPr>
          <w:rFonts w:ascii="宋体" w:hAnsi="宋体"/>
          <w:sz w:val="24"/>
          <w:szCs w:val="24"/>
        </w:rPr>
      </w:pPr>
      <w:r>
        <w:rPr>
          <w:rFonts w:hint="eastAsia" w:ascii="宋体" w:hAnsi="宋体"/>
          <w:sz w:val="24"/>
          <w:szCs w:val="24"/>
        </w:rPr>
        <w:t>地址：邮编：</w:t>
      </w:r>
    </w:p>
    <w:p>
      <w:pPr>
        <w:spacing w:line="360" w:lineRule="auto"/>
        <w:ind w:firstLine="480" w:firstLineChars="200"/>
        <w:jc w:val="left"/>
        <w:rPr>
          <w:rFonts w:ascii="宋体" w:hAnsi="宋体"/>
          <w:sz w:val="24"/>
          <w:szCs w:val="24"/>
        </w:rPr>
      </w:pPr>
      <w:r>
        <w:rPr>
          <w:rFonts w:hint="eastAsia" w:ascii="宋体" w:hAnsi="宋体"/>
          <w:sz w:val="24"/>
          <w:szCs w:val="24"/>
        </w:rPr>
        <w:t>电话：传真：</w:t>
      </w:r>
    </w:p>
    <w:p>
      <w:pPr>
        <w:spacing w:after="50" w:line="360" w:lineRule="auto"/>
        <w:ind w:firstLine="480" w:firstLineChars="200"/>
        <w:rPr>
          <w:rFonts w:ascii="宋体" w:hAnsi="宋体"/>
          <w:sz w:val="24"/>
          <w:szCs w:val="24"/>
          <w:u w:val="single"/>
        </w:rPr>
      </w:pPr>
      <w:r>
        <w:rPr>
          <w:rFonts w:hint="eastAsia" w:ascii="宋体" w:hAnsi="宋体"/>
          <w:sz w:val="24"/>
          <w:szCs w:val="24"/>
        </w:rPr>
        <w:t>开户银行：帐号：</w:t>
      </w:r>
    </w:p>
    <w:p>
      <w:pPr>
        <w:spacing w:after="50" w:line="360" w:lineRule="auto"/>
        <w:ind w:right="480"/>
        <w:jc w:val="center"/>
        <w:rPr>
          <w:rFonts w:ascii="宋体" w:hAnsi="宋体"/>
          <w:sz w:val="24"/>
          <w:szCs w:val="24"/>
        </w:rPr>
      </w:pPr>
      <w:r>
        <w:rPr>
          <w:rFonts w:hint="eastAsia" w:ascii="宋体" w:hAnsi="宋体"/>
          <w:sz w:val="24"/>
          <w:szCs w:val="24"/>
        </w:rPr>
        <w:t>供应商名称（公章）：</w:t>
      </w:r>
    </w:p>
    <w:p>
      <w:pPr>
        <w:spacing w:after="50" w:line="360" w:lineRule="auto"/>
        <w:ind w:right="480" w:firstLine="4560" w:firstLineChars="1900"/>
        <w:rPr>
          <w:rFonts w:ascii="宋体" w:hAnsi="宋体"/>
          <w:sz w:val="24"/>
          <w:szCs w:val="24"/>
        </w:rPr>
      </w:pPr>
      <w:r>
        <w:rPr>
          <w:rFonts w:hint="eastAsia" w:ascii="宋体" w:hAnsi="宋体"/>
          <w:sz w:val="24"/>
          <w:szCs w:val="24"/>
        </w:rPr>
        <w:t>法定代表人或授权代表签字：</w:t>
      </w:r>
    </w:p>
    <w:p>
      <w:pPr>
        <w:spacing w:after="50" w:line="360" w:lineRule="auto"/>
        <w:ind w:right="480" w:firstLine="5640" w:firstLineChars="2350"/>
        <w:rPr>
          <w:rFonts w:ascii="宋体" w:hAnsi="宋体"/>
          <w:sz w:val="24"/>
          <w:szCs w:val="24"/>
        </w:rPr>
      </w:pPr>
      <w:r>
        <w:rPr>
          <w:rFonts w:hint="eastAsia" w:ascii="宋体" w:hAnsi="宋体"/>
          <w:sz w:val="24"/>
          <w:szCs w:val="24"/>
        </w:rPr>
        <w:t>年月日</w:t>
      </w:r>
    </w:p>
    <w:p>
      <w:pPr>
        <w:spacing w:line="360" w:lineRule="auto"/>
        <w:jc w:val="right"/>
        <w:rPr>
          <w:rFonts w:ascii="宋体" w:hAnsi="宋体"/>
          <w:b/>
          <w:color w:val="0D0D0D"/>
          <w:sz w:val="32"/>
        </w:rPr>
      </w:pPr>
      <w:r>
        <w:rPr>
          <w:rFonts w:hint="eastAsia" w:ascii="宋体" w:hAnsi="宋体"/>
          <w:b/>
          <w:color w:val="0D0D0D"/>
          <w:sz w:val="32"/>
        </w:rPr>
        <w:t>正本或副本</w:t>
      </w:r>
    </w:p>
    <w:p>
      <w:pPr>
        <w:spacing w:line="360" w:lineRule="auto"/>
        <w:jc w:val="center"/>
        <w:rPr>
          <w:rFonts w:ascii="宋体" w:hAnsi="宋体"/>
          <w:b/>
          <w:color w:val="0D0D0D"/>
          <w:sz w:val="32"/>
        </w:rPr>
      </w:pPr>
    </w:p>
    <w:p>
      <w:pPr>
        <w:spacing w:line="360" w:lineRule="auto"/>
        <w:jc w:val="center"/>
        <w:rPr>
          <w:rFonts w:ascii="宋体" w:hAnsi="宋体"/>
          <w:b/>
          <w:color w:val="0D0D0D"/>
          <w:sz w:val="30"/>
        </w:rPr>
      </w:pPr>
      <w:r>
        <w:rPr>
          <w:rFonts w:hint="eastAsia" w:ascii="宋体" w:hAnsi="宋体"/>
          <w:b/>
          <w:color w:val="0D0D0D"/>
          <w:sz w:val="32"/>
        </w:rPr>
        <w:t>报价文件封面</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ascii="宋体" w:hAnsi="宋体"/>
          <w:color w:val="0D0D0D"/>
          <w:sz w:val="36"/>
        </w:rPr>
        <w:t>采购编号：</w:t>
      </w:r>
    </w:p>
    <w:p>
      <w:pPr>
        <w:pStyle w:val="6"/>
        <w:spacing w:line="360" w:lineRule="auto"/>
        <w:ind w:firstLine="720"/>
        <w:rPr>
          <w:rFonts w:ascii="宋体" w:hAnsi="宋体"/>
          <w:color w:val="0D0D0D"/>
          <w:sz w:val="36"/>
        </w:rPr>
      </w:pPr>
    </w:p>
    <w:p>
      <w:pPr>
        <w:pStyle w:val="6"/>
        <w:spacing w:line="360" w:lineRule="auto"/>
        <w:ind w:firstLine="900" w:firstLineChars="250"/>
        <w:rPr>
          <w:rFonts w:ascii="宋体" w:hAnsi="宋体"/>
          <w:color w:val="0D0D0D"/>
          <w:sz w:val="36"/>
        </w:rPr>
      </w:pPr>
      <w:r>
        <w:rPr>
          <w:rFonts w:ascii="宋体" w:hAnsi="宋体"/>
          <w:color w:val="0D0D0D"/>
          <w:sz w:val="36"/>
        </w:rPr>
        <w:t>项目名称：</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响应</w:t>
      </w:r>
      <w:r>
        <w:rPr>
          <w:rFonts w:ascii="宋体" w:hAnsi="宋体"/>
          <w:color w:val="0D0D0D"/>
          <w:sz w:val="36"/>
        </w:rPr>
        <w:t>文件名称：</w:t>
      </w:r>
      <w:r>
        <w:rPr>
          <w:rFonts w:hint="eastAsia" w:ascii="宋体" w:hAnsi="宋体"/>
          <w:color w:val="0D0D0D"/>
          <w:sz w:val="36"/>
        </w:rPr>
        <w:t>报价文件</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供应商</w:t>
      </w:r>
      <w:r>
        <w:rPr>
          <w:rFonts w:ascii="宋体" w:hAnsi="宋体"/>
          <w:color w:val="0D0D0D"/>
          <w:sz w:val="36"/>
        </w:rPr>
        <w:t>名称</w:t>
      </w:r>
      <w:r>
        <w:rPr>
          <w:rFonts w:hint="eastAsia" w:ascii="宋体" w:hAnsi="宋体"/>
          <w:color w:val="0D0D0D"/>
          <w:sz w:val="36"/>
        </w:rPr>
        <w:t>（加盖公章）</w:t>
      </w:r>
      <w:r>
        <w:rPr>
          <w:rFonts w:ascii="宋体" w:hAnsi="宋体"/>
          <w:color w:val="0D0D0D"/>
          <w:sz w:val="36"/>
        </w:rPr>
        <w:t>：</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法定代表人或授权代表签字：</w:t>
      </w:r>
    </w:p>
    <w:p>
      <w:pPr>
        <w:pStyle w:val="6"/>
        <w:spacing w:line="360" w:lineRule="auto"/>
        <w:ind w:firstLine="900" w:firstLineChars="250"/>
        <w:rPr>
          <w:rFonts w:ascii="宋体" w:hAnsi="宋体"/>
          <w:color w:val="0D0D0D"/>
          <w:sz w:val="36"/>
        </w:rPr>
      </w:pPr>
    </w:p>
    <w:p>
      <w:pPr>
        <w:pStyle w:val="6"/>
        <w:spacing w:line="360" w:lineRule="auto"/>
        <w:ind w:firstLine="900" w:firstLineChars="250"/>
        <w:rPr>
          <w:rFonts w:ascii="宋体" w:hAnsi="宋体"/>
          <w:color w:val="0D0D0D"/>
          <w:sz w:val="36"/>
        </w:rPr>
      </w:pPr>
      <w:r>
        <w:rPr>
          <w:rFonts w:hint="eastAsia" w:ascii="宋体" w:hAnsi="宋体"/>
          <w:color w:val="0D0D0D"/>
          <w:sz w:val="36"/>
        </w:rPr>
        <w:t>供应商</w:t>
      </w:r>
      <w:r>
        <w:rPr>
          <w:rFonts w:ascii="宋体" w:hAnsi="宋体"/>
          <w:color w:val="0D0D0D"/>
          <w:sz w:val="36"/>
        </w:rPr>
        <w:t>地址：</w:t>
      </w:r>
    </w:p>
    <w:p>
      <w:pPr>
        <w:spacing w:after="50" w:line="360" w:lineRule="auto"/>
        <w:ind w:right="480" w:firstLine="4560" w:firstLineChars="1900"/>
        <w:rPr>
          <w:rFonts w:ascii="宋体" w:hAnsi="宋体"/>
          <w:sz w:val="24"/>
          <w:szCs w:val="24"/>
        </w:rPr>
      </w:pPr>
    </w:p>
    <w:p>
      <w:pPr>
        <w:spacing w:after="50" w:line="360" w:lineRule="auto"/>
        <w:ind w:right="480" w:firstLine="4560" w:firstLineChars="1900"/>
        <w:rPr>
          <w:rFonts w:ascii="宋体" w:hAnsi="宋体"/>
          <w:sz w:val="24"/>
          <w:szCs w:val="24"/>
        </w:rPr>
      </w:pPr>
    </w:p>
    <w:p>
      <w:pPr>
        <w:spacing w:after="50" w:line="360" w:lineRule="auto"/>
        <w:ind w:right="480" w:firstLine="4560" w:firstLineChars="1900"/>
        <w:rPr>
          <w:rFonts w:ascii="宋体" w:hAnsi="宋体"/>
          <w:sz w:val="24"/>
          <w:szCs w:val="24"/>
        </w:rPr>
      </w:pPr>
    </w:p>
    <w:p>
      <w:pPr>
        <w:spacing w:after="50" w:line="360" w:lineRule="auto"/>
        <w:ind w:right="480" w:firstLine="4560" w:firstLineChars="1900"/>
        <w:rPr>
          <w:rFonts w:ascii="宋体" w:hAnsi="宋体"/>
          <w:sz w:val="24"/>
          <w:szCs w:val="24"/>
        </w:rPr>
      </w:pPr>
    </w:p>
    <w:p>
      <w:pPr>
        <w:spacing w:after="50" w:line="360" w:lineRule="auto"/>
        <w:ind w:right="480" w:firstLine="4560" w:firstLineChars="1900"/>
        <w:rPr>
          <w:rFonts w:ascii="宋体" w:hAnsi="宋体"/>
          <w:sz w:val="24"/>
          <w:szCs w:val="24"/>
        </w:rPr>
      </w:pPr>
    </w:p>
    <w:p>
      <w:pPr>
        <w:spacing w:after="50" w:line="360" w:lineRule="auto"/>
        <w:ind w:right="480" w:firstLine="4560" w:firstLineChars="1900"/>
        <w:rPr>
          <w:rFonts w:ascii="宋体" w:hAnsi="宋体"/>
          <w:sz w:val="24"/>
          <w:szCs w:val="24"/>
        </w:rPr>
      </w:pPr>
    </w:p>
    <w:p>
      <w:pPr>
        <w:spacing w:after="50" w:line="360" w:lineRule="auto"/>
        <w:ind w:right="480" w:firstLine="4560" w:firstLineChars="1900"/>
        <w:rPr>
          <w:rFonts w:ascii="宋体" w:hAnsi="宋体"/>
          <w:sz w:val="24"/>
          <w:szCs w:val="24"/>
        </w:rPr>
      </w:pPr>
    </w:p>
    <w:p>
      <w:pPr>
        <w:snapToGrid w:val="0"/>
        <w:spacing w:line="360" w:lineRule="auto"/>
        <w:ind w:firstLine="590" w:firstLineChars="196"/>
        <w:jc w:val="center"/>
        <w:rPr>
          <w:rFonts w:ascii="宋体" w:hAnsi="宋体"/>
          <w:b/>
          <w:sz w:val="30"/>
          <w:szCs w:val="30"/>
        </w:rPr>
      </w:pPr>
      <w:r>
        <w:rPr>
          <w:rFonts w:hint="eastAsia" w:ascii="宋体" w:hAnsi="宋体"/>
          <w:b/>
          <w:sz w:val="30"/>
          <w:szCs w:val="30"/>
        </w:rPr>
        <w:t>目录</w:t>
      </w:r>
    </w:p>
    <w:p>
      <w:pPr>
        <w:pStyle w:val="12"/>
        <w:snapToGrid w:val="0"/>
        <w:spacing w:line="360" w:lineRule="auto"/>
        <w:ind w:firstLine="480" w:firstLineChars="200"/>
        <w:rPr>
          <w:sz w:val="24"/>
          <w:szCs w:val="24"/>
        </w:rPr>
      </w:pPr>
      <w:r>
        <w:rPr>
          <w:rFonts w:hint="eastAsia"/>
          <w:sz w:val="24"/>
          <w:szCs w:val="24"/>
        </w:rPr>
        <w:t>（1</w:t>
      </w:r>
      <w:r>
        <w:rPr>
          <w:sz w:val="24"/>
          <w:szCs w:val="24"/>
        </w:rPr>
        <w:t>）</w:t>
      </w:r>
      <w:r>
        <w:rPr>
          <w:rFonts w:hint="eastAsia"/>
          <w:sz w:val="24"/>
          <w:szCs w:val="24"/>
        </w:rPr>
        <w:t>报价一览</w:t>
      </w:r>
      <w:r>
        <w:rPr>
          <w:sz w:val="24"/>
          <w:szCs w:val="24"/>
        </w:rPr>
        <w:t>表；</w:t>
      </w:r>
    </w:p>
    <w:p>
      <w:pPr>
        <w:snapToGrid w:val="0"/>
        <w:spacing w:line="360" w:lineRule="auto"/>
        <w:ind w:firstLine="600" w:firstLineChars="250"/>
        <w:jc w:val="left"/>
        <w:rPr>
          <w:sz w:val="24"/>
          <w:szCs w:val="24"/>
        </w:rPr>
      </w:pPr>
      <w:r>
        <w:rPr>
          <w:rFonts w:hint="eastAsia"/>
          <w:sz w:val="24"/>
          <w:szCs w:val="24"/>
        </w:rPr>
        <w:t>（2</w:t>
      </w:r>
      <w:r>
        <w:rPr>
          <w:sz w:val="24"/>
          <w:szCs w:val="24"/>
        </w:rPr>
        <w:t>）</w:t>
      </w:r>
      <w:r>
        <w:rPr>
          <w:rFonts w:hint="eastAsia"/>
          <w:sz w:val="24"/>
          <w:szCs w:val="24"/>
        </w:rPr>
        <w:t>针对报价</w:t>
      </w:r>
      <w:r>
        <w:rPr>
          <w:sz w:val="24"/>
          <w:szCs w:val="24"/>
        </w:rPr>
        <w:t>需要说明的其</w:t>
      </w:r>
      <w:r>
        <w:rPr>
          <w:rFonts w:hint="eastAsia"/>
          <w:sz w:val="24"/>
          <w:szCs w:val="24"/>
        </w:rPr>
        <w:t>它材料。</w:t>
      </w: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spacing w:line="360" w:lineRule="auto"/>
        <w:ind w:firstLine="2700" w:firstLineChars="900"/>
        <w:rPr>
          <w:rFonts w:ascii="宋体" w:hAnsi="宋体"/>
          <w:smallCaps/>
          <w:sz w:val="30"/>
          <w:szCs w:val="30"/>
        </w:rPr>
      </w:pPr>
    </w:p>
    <w:p>
      <w:pPr>
        <w:pStyle w:val="12"/>
        <w:snapToGrid w:val="0"/>
        <w:spacing w:line="360" w:lineRule="auto"/>
        <w:ind w:firstLine="602" w:firstLineChars="200"/>
        <w:jc w:val="center"/>
        <w:rPr>
          <w:b/>
          <w:sz w:val="30"/>
          <w:szCs w:val="30"/>
        </w:rPr>
      </w:pPr>
      <w:r>
        <w:rPr>
          <w:rFonts w:hint="eastAsia"/>
          <w:b/>
          <w:sz w:val="30"/>
          <w:szCs w:val="30"/>
        </w:rPr>
        <w:t>一、报价一览</w:t>
      </w:r>
      <w:r>
        <w:rPr>
          <w:b/>
          <w:sz w:val="30"/>
          <w:szCs w:val="30"/>
        </w:rPr>
        <w:t>表</w:t>
      </w:r>
    </w:p>
    <w:tbl>
      <w:tblPr>
        <w:tblStyle w:val="2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528"/>
        <w:gridCol w:w="3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191" w:type="dxa"/>
            <w:vAlign w:val="center"/>
          </w:tcPr>
          <w:p>
            <w:pPr>
              <w:spacing w:line="320" w:lineRule="atLeast"/>
              <w:jc w:val="center"/>
              <w:rPr>
                <w:rFonts w:ascii="宋体" w:hAnsi="宋体"/>
                <w:b/>
                <w:color w:val="0D0D0D"/>
                <w:sz w:val="24"/>
              </w:rPr>
            </w:pPr>
            <w:r>
              <w:rPr>
                <w:rFonts w:hint="eastAsia" w:ascii="宋体" w:hAnsi="宋体"/>
                <w:b/>
                <w:color w:val="0D0D0D"/>
                <w:sz w:val="24"/>
              </w:rPr>
              <w:t>序号</w:t>
            </w:r>
          </w:p>
        </w:tc>
        <w:tc>
          <w:tcPr>
            <w:tcW w:w="3528" w:type="dxa"/>
            <w:vAlign w:val="center"/>
          </w:tcPr>
          <w:p>
            <w:pPr>
              <w:tabs>
                <w:tab w:val="left" w:pos="8280"/>
              </w:tabs>
              <w:autoSpaceDE w:val="0"/>
              <w:autoSpaceDN w:val="0"/>
              <w:adjustRightInd w:val="0"/>
              <w:spacing w:line="320" w:lineRule="atLeast"/>
              <w:ind w:right="25" w:firstLine="120" w:firstLineChars="50"/>
              <w:jc w:val="center"/>
              <w:rPr>
                <w:rFonts w:ascii="宋体" w:hAnsi="宋体"/>
                <w:b/>
                <w:color w:val="0D0D0D"/>
                <w:sz w:val="24"/>
              </w:rPr>
            </w:pPr>
            <w:r>
              <w:rPr>
                <w:rFonts w:hint="eastAsia" w:ascii="宋体" w:hAnsi="宋体"/>
                <w:b/>
                <w:color w:val="0D0D0D"/>
                <w:sz w:val="24"/>
              </w:rPr>
              <w:t>项目名称</w:t>
            </w:r>
          </w:p>
        </w:tc>
        <w:tc>
          <w:tcPr>
            <w:tcW w:w="3985" w:type="dxa"/>
            <w:vAlign w:val="center"/>
          </w:tcPr>
          <w:p>
            <w:pPr>
              <w:spacing w:line="320" w:lineRule="atLeast"/>
              <w:jc w:val="center"/>
              <w:rPr>
                <w:rFonts w:ascii="宋体" w:hAnsi="宋体"/>
                <w:b/>
                <w:color w:val="0D0D0D"/>
                <w:sz w:val="24"/>
              </w:rPr>
            </w:pPr>
            <w:r>
              <w:rPr>
                <w:rFonts w:hint="eastAsia" w:ascii="宋体" w:hAnsi="宋体"/>
                <w:b/>
                <w:color w:val="0D0D0D"/>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1191" w:type="dxa"/>
            <w:vAlign w:val="center"/>
          </w:tcPr>
          <w:p>
            <w:pPr>
              <w:tabs>
                <w:tab w:val="left" w:pos="8280"/>
              </w:tabs>
              <w:autoSpaceDE w:val="0"/>
              <w:autoSpaceDN w:val="0"/>
              <w:adjustRightInd w:val="0"/>
              <w:spacing w:line="320" w:lineRule="atLeast"/>
              <w:ind w:right="25"/>
              <w:jc w:val="center"/>
              <w:rPr>
                <w:rFonts w:ascii="宋体" w:hAnsi="宋体"/>
                <w:color w:val="0D0D0D"/>
                <w:sz w:val="24"/>
              </w:rPr>
            </w:pPr>
            <w:r>
              <w:rPr>
                <w:rFonts w:hint="eastAsia" w:ascii="宋体" w:hAnsi="宋体"/>
                <w:color w:val="0D0D0D"/>
                <w:sz w:val="24"/>
              </w:rPr>
              <w:t>1</w:t>
            </w:r>
          </w:p>
        </w:tc>
        <w:tc>
          <w:tcPr>
            <w:tcW w:w="3528" w:type="dxa"/>
            <w:vAlign w:val="center"/>
          </w:tcPr>
          <w:p>
            <w:pPr>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骑行收费（以打9折优惠为基准进行报价，单位：%）</w:t>
            </w:r>
          </w:p>
        </w:tc>
        <w:tc>
          <w:tcPr>
            <w:tcW w:w="3985" w:type="dxa"/>
            <w:vAlign w:val="center"/>
          </w:tcPr>
          <w:p>
            <w:pPr>
              <w:tabs>
                <w:tab w:val="left" w:pos="8280"/>
              </w:tabs>
              <w:autoSpaceDE w:val="0"/>
              <w:autoSpaceDN w:val="0"/>
              <w:adjustRightInd w:val="0"/>
              <w:spacing w:line="320" w:lineRule="atLeast"/>
              <w:ind w:right="25"/>
              <w:rPr>
                <w:rFonts w:ascii="宋体" w:hAnsi="宋体"/>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1191" w:type="dxa"/>
            <w:vAlign w:val="center"/>
          </w:tcPr>
          <w:p>
            <w:pPr>
              <w:tabs>
                <w:tab w:val="left" w:pos="8280"/>
              </w:tabs>
              <w:autoSpaceDE w:val="0"/>
              <w:autoSpaceDN w:val="0"/>
              <w:adjustRightInd w:val="0"/>
              <w:spacing w:line="320" w:lineRule="atLeast"/>
              <w:ind w:right="25"/>
              <w:jc w:val="center"/>
              <w:rPr>
                <w:rFonts w:ascii="宋体" w:hAnsi="宋体"/>
                <w:color w:val="0D0D0D"/>
                <w:sz w:val="24"/>
              </w:rPr>
            </w:pPr>
            <w:r>
              <w:rPr>
                <w:rFonts w:hint="eastAsia" w:ascii="宋体" w:hAnsi="宋体"/>
                <w:color w:val="0D0D0D"/>
                <w:sz w:val="24"/>
              </w:rPr>
              <w:t>2</w:t>
            </w:r>
          </w:p>
        </w:tc>
        <w:tc>
          <w:tcPr>
            <w:tcW w:w="3528" w:type="dxa"/>
            <w:vAlign w:val="center"/>
          </w:tcPr>
          <w:p>
            <w:pPr>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校园安防物资赞助（以5万元为基准进行报价，单位：万元）</w:t>
            </w:r>
          </w:p>
        </w:tc>
        <w:tc>
          <w:tcPr>
            <w:tcW w:w="3985" w:type="dxa"/>
            <w:vAlign w:val="center"/>
          </w:tcPr>
          <w:p>
            <w:pPr>
              <w:tabs>
                <w:tab w:val="left" w:pos="8280"/>
              </w:tabs>
              <w:autoSpaceDE w:val="0"/>
              <w:autoSpaceDN w:val="0"/>
              <w:adjustRightInd w:val="0"/>
              <w:spacing w:line="320" w:lineRule="atLeast"/>
              <w:ind w:right="25"/>
              <w:rPr>
                <w:rFonts w:ascii="宋体" w:hAnsi="宋体"/>
                <w:color w:val="0D0D0D"/>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1191" w:type="dxa"/>
            <w:vAlign w:val="center"/>
          </w:tcPr>
          <w:p>
            <w:pPr>
              <w:tabs>
                <w:tab w:val="left" w:pos="8280"/>
              </w:tabs>
              <w:autoSpaceDE w:val="0"/>
              <w:autoSpaceDN w:val="0"/>
              <w:adjustRightInd w:val="0"/>
              <w:spacing w:line="320" w:lineRule="atLeast"/>
              <w:ind w:right="25"/>
              <w:jc w:val="center"/>
              <w:rPr>
                <w:rFonts w:ascii="宋体" w:hAnsi="宋体"/>
                <w:color w:val="0D0D0D"/>
                <w:sz w:val="24"/>
              </w:rPr>
            </w:pPr>
            <w:r>
              <w:rPr>
                <w:rFonts w:hint="eastAsia" w:ascii="宋体" w:hAnsi="宋体"/>
                <w:color w:val="0D0D0D"/>
                <w:sz w:val="24"/>
              </w:rPr>
              <w:t>3</w:t>
            </w:r>
          </w:p>
        </w:tc>
        <w:tc>
          <w:tcPr>
            <w:tcW w:w="3528" w:type="dxa"/>
            <w:vAlign w:val="center"/>
          </w:tcPr>
          <w:p>
            <w:pPr>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回购师生电动车（单位：辆）</w:t>
            </w:r>
          </w:p>
        </w:tc>
        <w:tc>
          <w:tcPr>
            <w:tcW w:w="3985" w:type="dxa"/>
            <w:vAlign w:val="center"/>
          </w:tcPr>
          <w:p>
            <w:pPr>
              <w:snapToGrid w:val="0"/>
              <w:jc w:val="left"/>
              <w:rPr>
                <w:rFonts w:ascii="宋体" w:hAnsi="宋体"/>
                <w:color w:val="0D0D0D"/>
                <w:spacing w:val="20"/>
                <w:sz w:val="24"/>
              </w:rPr>
            </w:pPr>
          </w:p>
        </w:tc>
      </w:tr>
    </w:tbl>
    <w:p>
      <w:pPr>
        <w:spacing w:line="360" w:lineRule="auto"/>
        <w:ind w:firstLine="2700" w:firstLineChars="900"/>
        <w:rPr>
          <w:rFonts w:ascii="宋体" w:hAnsi="宋体"/>
          <w:smallCaps/>
          <w:sz w:val="30"/>
          <w:szCs w:val="30"/>
        </w:rPr>
      </w:pPr>
    </w:p>
    <w:p>
      <w:pPr>
        <w:pStyle w:val="6"/>
        <w:spacing w:line="360" w:lineRule="auto"/>
        <w:ind w:firstLine="600" w:firstLineChars="250"/>
        <w:rPr>
          <w:rFonts w:ascii="宋体" w:hAnsi="宋体"/>
          <w:color w:val="0D0D0D"/>
          <w:sz w:val="24"/>
        </w:rPr>
      </w:pPr>
    </w:p>
    <w:p>
      <w:pPr>
        <w:pStyle w:val="6"/>
        <w:spacing w:line="360" w:lineRule="auto"/>
        <w:ind w:firstLine="600" w:firstLineChars="250"/>
        <w:rPr>
          <w:rFonts w:ascii="宋体" w:hAnsi="宋体"/>
          <w:color w:val="0D0D0D"/>
          <w:sz w:val="24"/>
        </w:rPr>
      </w:pPr>
      <w:r>
        <w:rPr>
          <w:rFonts w:hint="eastAsia" w:ascii="宋体" w:hAnsi="宋体"/>
          <w:color w:val="0D0D0D"/>
          <w:sz w:val="24"/>
        </w:rPr>
        <w:t>供应商</w:t>
      </w:r>
      <w:r>
        <w:rPr>
          <w:rFonts w:ascii="宋体" w:hAnsi="宋体"/>
          <w:color w:val="0D0D0D"/>
          <w:sz w:val="24"/>
        </w:rPr>
        <w:t>名称</w:t>
      </w:r>
      <w:r>
        <w:rPr>
          <w:rFonts w:hint="eastAsia" w:ascii="宋体" w:hAnsi="宋体"/>
          <w:color w:val="0D0D0D"/>
          <w:sz w:val="24"/>
        </w:rPr>
        <w:t>（加盖公章）</w:t>
      </w:r>
      <w:r>
        <w:rPr>
          <w:rFonts w:ascii="宋体" w:hAnsi="宋体"/>
          <w:color w:val="0D0D0D"/>
          <w:sz w:val="24"/>
        </w:rPr>
        <w:t>：</w:t>
      </w:r>
    </w:p>
    <w:p>
      <w:pPr>
        <w:pStyle w:val="6"/>
        <w:spacing w:line="360" w:lineRule="auto"/>
        <w:ind w:firstLine="600" w:firstLineChars="250"/>
        <w:rPr>
          <w:rFonts w:ascii="宋体" w:hAnsi="宋体"/>
          <w:color w:val="0D0D0D"/>
          <w:sz w:val="24"/>
        </w:rPr>
      </w:pPr>
      <w:r>
        <w:rPr>
          <w:rFonts w:hint="eastAsia" w:ascii="宋体" w:hAnsi="宋体"/>
          <w:color w:val="0D0D0D"/>
          <w:sz w:val="24"/>
        </w:rPr>
        <w:t>法定代表人或授权代表签字：</w:t>
      </w:r>
    </w:p>
    <w:p>
      <w:pPr>
        <w:pStyle w:val="6"/>
        <w:spacing w:line="360" w:lineRule="auto"/>
        <w:ind w:firstLine="600" w:firstLineChars="250"/>
        <w:rPr>
          <w:rFonts w:ascii="宋体" w:hAnsi="宋体"/>
          <w:color w:val="0D0D0D"/>
          <w:sz w:val="24"/>
        </w:rPr>
      </w:pPr>
      <w:r>
        <w:rPr>
          <w:rFonts w:hint="eastAsia" w:ascii="宋体" w:hAnsi="宋体"/>
          <w:color w:val="0D0D0D"/>
          <w:sz w:val="24"/>
        </w:rPr>
        <w:t>日期：</w:t>
      </w:r>
    </w:p>
    <w:p>
      <w:pPr>
        <w:spacing w:line="360" w:lineRule="auto"/>
        <w:ind w:firstLine="2700" w:firstLineChars="900"/>
        <w:rPr>
          <w:rFonts w:ascii="宋体" w:hAnsi="宋体"/>
          <w:smallCaps/>
          <w:sz w:val="30"/>
          <w:szCs w:val="30"/>
        </w:rPr>
      </w:pPr>
    </w:p>
    <w:sectPr>
      <w:headerReference r:id="rId3" w:type="default"/>
      <w:footerReference r:id="rId4" w:type="default"/>
      <w:footerReference r:id="rId5" w:type="even"/>
      <w:pgSz w:w="11906" w:h="16838"/>
      <w:pgMar w:top="1440" w:right="1134" w:bottom="1440"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pPr>
      <w:pStyle w:val="1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丽水学院保卫处共享电动车服务竞争性磋商文件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E37CD"/>
    <w:multiLevelType w:val="singleLevel"/>
    <w:tmpl w:val="EE7E37CD"/>
    <w:lvl w:ilvl="0" w:tentative="0">
      <w:start w:val="4"/>
      <w:numFmt w:val="decimal"/>
      <w:suff w:val="nothing"/>
      <w:lvlText w:val="（%1）"/>
      <w:lvlJc w:val="left"/>
    </w:lvl>
  </w:abstractNum>
  <w:abstractNum w:abstractNumId="1">
    <w:nsid w:val="278B3846"/>
    <w:multiLevelType w:val="multilevel"/>
    <w:tmpl w:val="278B3846"/>
    <w:lvl w:ilvl="0" w:tentative="0">
      <w:start w:val="3"/>
      <w:numFmt w:val="decimal"/>
      <w:lvlText w:val="%1）"/>
      <w:lvlJc w:val="left"/>
      <w:pPr>
        <w:ind w:left="1305" w:hanging="36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
    <w:nsid w:val="3F9463FB"/>
    <w:multiLevelType w:val="multilevel"/>
    <w:tmpl w:val="3F9463FB"/>
    <w:lvl w:ilvl="0" w:tentative="0">
      <w:start w:val="1"/>
      <w:numFmt w:val="decimal"/>
      <w:pStyle w:val="3"/>
      <w:lvlText w:val="%1、"/>
      <w:lvlJc w:val="left"/>
      <w:pPr>
        <w:ind w:left="425" w:hanging="425"/>
      </w:pPr>
      <w:rPr>
        <w:rFonts w:hint="eastAsia"/>
      </w:rPr>
    </w:lvl>
    <w:lvl w:ilvl="1" w:tentative="0">
      <w:start w:val="1"/>
      <w:numFmt w:val="decimal"/>
      <w:pStyle w:val="48"/>
      <w:lvlText w:val="%1.%2"/>
      <w:lvlJc w:val="left"/>
      <w:pPr>
        <w:ind w:left="992" w:hanging="567"/>
      </w:pPr>
      <w:rPr>
        <w:rFonts w:hint="eastAsia"/>
        <w:color w:val="auto"/>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2805D28"/>
    <w:multiLevelType w:val="multilevel"/>
    <w:tmpl w:val="42805D28"/>
    <w:lvl w:ilvl="0" w:tentative="0">
      <w:start w:val="3"/>
      <w:numFmt w:val="decimal"/>
      <w:lvlText w:val="%1）"/>
      <w:lvlJc w:val="left"/>
      <w:pPr>
        <w:ind w:left="1305" w:hanging="36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
    <w:nsid w:val="61554DF4"/>
    <w:multiLevelType w:val="multilevel"/>
    <w:tmpl w:val="61554DF4"/>
    <w:lvl w:ilvl="0" w:tentative="0">
      <w:start w:val="1"/>
      <w:numFmt w:val="japaneseCounting"/>
      <w:pStyle w:val="5"/>
      <w:lvlText w:val="%1、"/>
      <w:lvlJc w:val="left"/>
      <w:pPr>
        <w:tabs>
          <w:tab w:val="left" w:pos="1260"/>
        </w:tabs>
        <w:ind w:left="1260" w:hanging="720"/>
      </w:pPr>
      <w:rPr>
        <w:rFonts w:hint="eastAsia"/>
      </w:rPr>
    </w:lvl>
    <w:lvl w:ilvl="1" w:tentative="0">
      <w:start w:val="1"/>
      <w:numFmt w:val="lowerLetter"/>
      <w:lvlText w:val="%2)"/>
      <w:lvlJc w:val="left"/>
      <w:pPr>
        <w:tabs>
          <w:tab w:val="left" w:pos="1555"/>
        </w:tabs>
        <w:ind w:left="1555" w:hanging="420"/>
      </w:pPr>
    </w:lvl>
    <w:lvl w:ilvl="2" w:tentative="0">
      <w:start w:val="1"/>
      <w:numFmt w:val="lowerRoman"/>
      <w:lvlText w:val="%3."/>
      <w:lvlJc w:val="right"/>
      <w:pPr>
        <w:tabs>
          <w:tab w:val="left" w:pos="1975"/>
        </w:tabs>
        <w:ind w:left="1975" w:hanging="420"/>
      </w:pPr>
    </w:lvl>
    <w:lvl w:ilvl="3" w:tentative="0">
      <w:start w:val="1"/>
      <w:numFmt w:val="decimal"/>
      <w:lvlText w:val="%4."/>
      <w:lvlJc w:val="left"/>
      <w:pPr>
        <w:tabs>
          <w:tab w:val="left" w:pos="2395"/>
        </w:tabs>
        <w:ind w:left="2395" w:hanging="420"/>
      </w:pPr>
    </w:lvl>
    <w:lvl w:ilvl="4" w:tentative="0">
      <w:start w:val="1"/>
      <w:numFmt w:val="lowerLetter"/>
      <w:lvlText w:val="%5)"/>
      <w:lvlJc w:val="left"/>
      <w:pPr>
        <w:tabs>
          <w:tab w:val="left" w:pos="2815"/>
        </w:tabs>
        <w:ind w:left="2815" w:hanging="420"/>
      </w:pPr>
    </w:lvl>
    <w:lvl w:ilvl="5" w:tentative="0">
      <w:start w:val="1"/>
      <w:numFmt w:val="lowerRoman"/>
      <w:lvlText w:val="%6."/>
      <w:lvlJc w:val="right"/>
      <w:pPr>
        <w:tabs>
          <w:tab w:val="left" w:pos="3235"/>
        </w:tabs>
        <w:ind w:left="3235" w:hanging="420"/>
      </w:pPr>
    </w:lvl>
    <w:lvl w:ilvl="6" w:tentative="0">
      <w:start w:val="1"/>
      <w:numFmt w:val="decimal"/>
      <w:lvlText w:val="%7."/>
      <w:lvlJc w:val="left"/>
      <w:pPr>
        <w:tabs>
          <w:tab w:val="left" w:pos="3655"/>
        </w:tabs>
        <w:ind w:left="3655" w:hanging="420"/>
      </w:pPr>
    </w:lvl>
    <w:lvl w:ilvl="7" w:tentative="0">
      <w:start w:val="1"/>
      <w:numFmt w:val="lowerLetter"/>
      <w:lvlText w:val="%8)"/>
      <w:lvlJc w:val="left"/>
      <w:pPr>
        <w:tabs>
          <w:tab w:val="left" w:pos="4075"/>
        </w:tabs>
        <w:ind w:left="4075" w:hanging="420"/>
      </w:pPr>
    </w:lvl>
    <w:lvl w:ilvl="8" w:tentative="0">
      <w:start w:val="1"/>
      <w:numFmt w:val="lowerRoman"/>
      <w:lvlText w:val="%9."/>
      <w:lvlJc w:val="right"/>
      <w:pPr>
        <w:tabs>
          <w:tab w:val="left" w:pos="4495"/>
        </w:tabs>
        <w:ind w:left="4495"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D8"/>
    <w:rsid w:val="00010A9D"/>
    <w:rsid w:val="000263A0"/>
    <w:rsid w:val="000502BB"/>
    <w:rsid w:val="000644D7"/>
    <w:rsid w:val="000737D7"/>
    <w:rsid w:val="00092447"/>
    <w:rsid w:val="00094A67"/>
    <w:rsid w:val="000B0B48"/>
    <w:rsid w:val="000C476E"/>
    <w:rsid w:val="00124EB6"/>
    <w:rsid w:val="00142084"/>
    <w:rsid w:val="00144054"/>
    <w:rsid w:val="0014669D"/>
    <w:rsid w:val="00154E6F"/>
    <w:rsid w:val="001A2C0E"/>
    <w:rsid w:val="001B06E8"/>
    <w:rsid w:val="001E5E0A"/>
    <w:rsid w:val="001F61D8"/>
    <w:rsid w:val="00245740"/>
    <w:rsid w:val="0024662A"/>
    <w:rsid w:val="00261F2F"/>
    <w:rsid w:val="00301F0B"/>
    <w:rsid w:val="00335EE7"/>
    <w:rsid w:val="00365DBB"/>
    <w:rsid w:val="00376A1F"/>
    <w:rsid w:val="003C0EB3"/>
    <w:rsid w:val="0042634C"/>
    <w:rsid w:val="004669D0"/>
    <w:rsid w:val="0047156C"/>
    <w:rsid w:val="0049513F"/>
    <w:rsid w:val="004A06EA"/>
    <w:rsid w:val="004A0FEF"/>
    <w:rsid w:val="004B377B"/>
    <w:rsid w:val="00521954"/>
    <w:rsid w:val="005378B7"/>
    <w:rsid w:val="00547CE4"/>
    <w:rsid w:val="0055166E"/>
    <w:rsid w:val="00563CFA"/>
    <w:rsid w:val="00587F1A"/>
    <w:rsid w:val="005E113E"/>
    <w:rsid w:val="00642848"/>
    <w:rsid w:val="00654A9A"/>
    <w:rsid w:val="00661796"/>
    <w:rsid w:val="00686226"/>
    <w:rsid w:val="006B59AB"/>
    <w:rsid w:val="006C0732"/>
    <w:rsid w:val="006C0972"/>
    <w:rsid w:val="007529E8"/>
    <w:rsid w:val="00754D6E"/>
    <w:rsid w:val="00763F0B"/>
    <w:rsid w:val="007712CD"/>
    <w:rsid w:val="007974FA"/>
    <w:rsid w:val="007C306A"/>
    <w:rsid w:val="007E69D0"/>
    <w:rsid w:val="007F3E01"/>
    <w:rsid w:val="00831964"/>
    <w:rsid w:val="00847FEA"/>
    <w:rsid w:val="008572AF"/>
    <w:rsid w:val="00861B04"/>
    <w:rsid w:val="00862DD8"/>
    <w:rsid w:val="00867F95"/>
    <w:rsid w:val="008B4FAB"/>
    <w:rsid w:val="008E7BF3"/>
    <w:rsid w:val="00930E01"/>
    <w:rsid w:val="009559A6"/>
    <w:rsid w:val="00971B7B"/>
    <w:rsid w:val="00977E74"/>
    <w:rsid w:val="009C1945"/>
    <w:rsid w:val="009C25E4"/>
    <w:rsid w:val="009D098C"/>
    <w:rsid w:val="00A07863"/>
    <w:rsid w:val="00A236CA"/>
    <w:rsid w:val="00A32F13"/>
    <w:rsid w:val="00A37812"/>
    <w:rsid w:val="00A73D68"/>
    <w:rsid w:val="00A83682"/>
    <w:rsid w:val="00AA7C81"/>
    <w:rsid w:val="00AC58E9"/>
    <w:rsid w:val="00AC70AE"/>
    <w:rsid w:val="00AD4C6F"/>
    <w:rsid w:val="00AE5B63"/>
    <w:rsid w:val="00AF275E"/>
    <w:rsid w:val="00B04728"/>
    <w:rsid w:val="00BA5474"/>
    <w:rsid w:val="00BC18AB"/>
    <w:rsid w:val="00BC7EA9"/>
    <w:rsid w:val="00BF31DF"/>
    <w:rsid w:val="00BF39E2"/>
    <w:rsid w:val="00C114D2"/>
    <w:rsid w:val="00C415D9"/>
    <w:rsid w:val="00C66F6F"/>
    <w:rsid w:val="00C923F7"/>
    <w:rsid w:val="00C93AA9"/>
    <w:rsid w:val="00CC1B96"/>
    <w:rsid w:val="00CD0FD4"/>
    <w:rsid w:val="00CD3DE5"/>
    <w:rsid w:val="00D255C3"/>
    <w:rsid w:val="00D312EE"/>
    <w:rsid w:val="00D438B4"/>
    <w:rsid w:val="00D4660C"/>
    <w:rsid w:val="00D75428"/>
    <w:rsid w:val="00D84325"/>
    <w:rsid w:val="00D872A9"/>
    <w:rsid w:val="00D95B9A"/>
    <w:rsid w:val="00DE2FA6"/>
    <w:rsid w:val="00DF19E3"/>
    <w:rsid w:val="00E0532A"/>
    <w:rsid w:val="00E13CB5"/>
    <w:rsid w:val="00E162DF"/>
    <w:rsid w:val="00E610AB"/>
    <w:rsid w:val="00E67FC1"/>
    <w:rsid w:val="00E74056"/>
    <w:rsid w:val="00EC365F"/>
    <w:rsid w:val="00ED5E67"/>
    <w:rsid w:val="00F20DB3"/>
    <w:rsid w:val="00F543F4"/>
    <w:rsid w:val="00F628FE"/>
    <w:rsid w:val="00F91A67"/>
    <w:rsid w:val="00FB391E"/>
    <w:rsid w:val="00FD4426"/>
    <w:rsid w:val="00FD50F0"/>
    <w:rsid w:val="00FE2FB1"/>
    <w:rsid w:val="01041B62"/>
    <w:rsid w:val="0B257386"/>
    <w:rsid w:val="0EBC211F"/>
    <w:rsid w:val="1EF676ED"/>
    <w:rsid w:val="293F39F1"/>
    <w:rsid w:val="35F82C84"/>
    <w:rsid w:val="3AAF5D38"/>
    <w:rsid w:val="3E503868"/>
    <w:rsid w:val="464D7B11"/>
    <w:rsid w:val="47056BDF"/>
    <w:rsid w:val="4C2C4542"/>
    <w:rsid w:val="4E0C3675"/>
    <w:rsid w:val="4ED67EAE"/>
    <w:rsid w:val="4F783020"/>
    <w:rsid w:val="531A3149"/>
    <w:rsid w:val="569A6FD9"/>
    <w:rsid w:val="597164FE"/>
    <w:rsid w:val="66A20A76"/>
    <w:rsid w:val="6F6039C2"/>
    <w:rsid w:val="70A1186E"/>
    <w:rsid w:val="750B03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numPr>
        <w:ilvl w:val="0"/>
        <w:numId w:val="1"/>
      </w:numPr>
      <w:spacing w:before="260" w:after="260" w:line="416" w:lineRule="auto"/>
      <w:outlineLvl w:val="1"/>
    </w:pPr>
    <w:rPr>
      <w:rFonts w:ascii="Arial" w:hAnsi="Arial" w:eastAsia="黑体"/>
      <w:b/>
      <w:bCs/>
      <w:sz w:val="32"/>
      <w:szCs w:val="32"/>
    </w:rPr>
  </w:style>
  <w:style w:type="paragraph" w:styleId="4">
    <w:name w:val="heading 9"/>
    <w:basedOn w:val="1"/>
    <w:next w:val="1"/>
    <w:link w:val="31"/>
    <w:semiHidden/>
    <w:unhideWhenUsed/>
    <w:qFormat/>
    <w:uiPriority w:val="0"/>
    <w:pPr>
      <w:keepNext/>
      <w:keepLines/>
      <w:spacing w:before="240" w:after="64" w:line="320" w:lineRule="auto"/>
      <w:outlineLvl w:val="8"/>
    </w:pPr>
    <w:rPr>
      <w:rFonts w:ascii="Cambria" w:hAnsi="Cambria"/>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2"/>
      </w:numPr>
      <w:tabs>
        <w:tab w:val="left" w:pos="454"/>
        <w:tab w:val="left" w:pos="720"/>
      </w:tabs>
      <w:spacing w:afterLines="50"/>
      <w:ind w:left="454" w:hanging="284"/>
      <w:jc w:val="left"/>
    </w:pPr>
    <w:rPr>
      <w:kern w:val="0"/>
      <w:sz w:val="24"/>
    </w:rPr>
  </w:style>
  <w:style w:type="paragraph" w:styleId="6">
    <w:name w:val="Normal Indent"/>
    <w:basedOn w:val="1"/>
    <w:link w:val="55"/>
    <w:qFormat/>
    <w:uiPriority w:val="0"/>
    <w:pPr>
      <w:ind w:firstLine="420" w:firstLineChars="200"/>
    </w:pPr>
    <w:rPr>
      <w:szCs w:val="24"/>
    </w:rPr>
  </w:style>
  <w:style w:type="paragraph" w:styleId="7">
    <w:name w:val="annotation text"/>
    <w:basedOn w:val="1"/>
    <w:link w:val="32"/>
    <w:semiHidden/>
    <w:unhideWhenUsed/>
    <w:qFormat/>
    <w:uiPriority w:val="0"/>
    <w:pPr>
      <w:jc w:val="left"/>
    </w:pPr>
  </w:style>
  <w:style w:type="paragraph" w:styleId="8">
    <w:name w:val="Body Text"/>
    <w:basedOn w:val="1"/>
    <w:link w:val="33"/>
    <w:qFormat/>
    <w:uiPriority w:val="0"/>
    <w:pPr>
      <w:spacing w:after="120"/>
    </w:pPr>
    <w:rPr>
      <w:sz w:val="28"/>
      <w:szCs w:val="24"/>
    </w:rPr>
  </w:style>
  <w:style w:type="paragraph" w:styleId="9">
    <w:name w:val="Body Text Indent"/>
    <w:basedOn w:val="1"/>
    <w:link w:val="34"/>
    <w:qFormat/>
    <w:uiPriority w:val="0"/>
    <w:pPr>
      <w:spacing w:after="120"/>
      <w:ind w:left="420" w:leftChars="200"/>
    </w:pPr>
  </w:style>
  <w:style w:type="paragraph" w:styleId="10">
    <w:name w:val="List 2"/>
    <w:basedOn w:val="1"/>
    <w:qFormat/>
    <w:uiPriority w:val="0"/>
    <w:pPr>
      <w:ind w:left="100" w:leftChars="200" w:hanging="200" w:hangingChars="200"/>
    </w:pPr>
  </w:style>
  <w:style w:type="paragraph" w:styleId="11">
    <w:name w:val="Plain Text"/>
    <w:basedOn w:val="1"/>
    <w:link w:val="35"/>
    <w:qFormat/>
    <w:uiPriority w:val="0"/>
    <w:pPr>
      <w:widowControl/>
      <w:overflowPunct w:val="0"/>
      <w:autoSpaceDE w:val="0"/>
      <w:autoSpaceDN w:val="0"/>
      <w:adjustRightInd w:val="0"/>
      <w:jc w:val="left"/>
      <w:textAlignment w:val="baseline"/>
    </w:pPr>
    <w:rPr>
      <w:rFonts w:ascii="宋体" w:hAnsi="Courier New"/>
      <w:kern w:val="0"/>
    </w:rPr>
  </w:style>
  <w:style w:type="paragraph" w:styleId="12">
    <w:name w:val="Date"/>
    <w:basedOn w:val="1"/>
    <w:next w:val="1"/>
    <w:link w:val="36"/>
    <w:qFormat/>
    <w:uiPriority w:val="0"/>
    <w:pPr>
      <w:ind w:left="100"/>
    </w:pPr>
    <w:rPr>
      <w:sz w:val="28"/>
    </w:rPr>
  </w:style>
  <w:style w:type="paragraph" w:styleId="13">
    <w:name w:val="Body Text Indent 2"/>
    <w:basedOn w:val="1"/>
    <w:link w:val="37"/>
    <w:qFormat/>
    <w:uiPriority w:val="0"/>
    <w:pPr>
      <w:spacing w:after="120" w:line="480" w:lineRule="auto"/>
      <w:ind w:left="420" w:leftChars="200"/>
    </w:pPr>
    <w:rPr>
      <w:szCs w:val="24"/>
    </w:rPr>
  </w:style>
  <w:style w:type="paragraph" w:styleId="14">
    <w:name w:val="Balloon Text"/>
    <w:basedOn w:val="1"/>
    <w:link w:val="38"/>
    <w:semiHidden/>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Body Text 2"/>
    <w:basedOn w:val="1"/>
    <w:link w:val="41"/>
    <w:qFormat/>
    <w:uiPriority w:val="0"/>
    <w:pPr>
      <w:spacing w:after="120" w:line="480" w:lineRule="auto"/>
    </w:p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7"/>
    <w:next w:val="7"/>
    <w:link w:val="42"/>
    <w:semiHidden/>
    <w:unhideWhenUsed/>
    <w:qFormat/>
    <w:uiPriority w:val="0"/>
    <w:rPr>
      <w:b/>
      <w:bCs/>
    </w:rPr>
  </w:style>
  <w:style w:type="paragraph" w:styleId="21">
    <w:name w:val="Body Text First Indent"/>
    <w:basedOn w:val="8"/>
    <w:link w:val="56"/>
    <w:qFormat/>
    <w:uiPriority w:val="99"/>
    <w:pPr>
      <w:ind w:firstLine="420" w:firstLineChars="100"/>
    </w:pPr>
    <w:rPr>
      <w:sz w:val="21"/>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qFormat/>
    <w:uiPriority w:val="0"/>
    <w:rPr>
      <w:color w:val="0000FF"/>
      <w:u w:val="single"/>
    </w:rPr>
  </w:style>
  <w:style w:type="character" w:styleId="28">
    <w:name w:val="annotation reference"/>
    <w:basedOn w:val="24"/>
    <w:semiHidden/>
    <w:unhideWhenUsed/>
    <w:qFormat/>
    <w:uiPriority w:val="0"/>
    <w:rPr>
      <w:sz w:val="21"/>
      <w:szCs w:val="21"/>
    </w:rPr>
  </w:style>
  <w:style w:type="character" w:customStyle="1" w:styleId="29">
    <w:name w:val="标题 1 Char"/>
    <w:basedOn w:val="24"/>
    <w:link w:val="2"/>
    <w:qFormat/>
    <w:uiPriority w:val="0"/>
    <w:rPr>
      <w:rFonts w:ascii="Times New Roman" w:hAnsi="Times New Roman" w:eastAsia="宋体" w:cs="Times New Roman"/>
      <w:b/>
      <w:bCs/>
      <w:kern w:val="44"/>
      <w:sz w:val="44"/>
      <w:szCs w:val="44"/>
    </w:rPr>
  </w:style>
  <w:style w:type="character" w:customStyle="1" w:styleId="30">
    <w:name w:val="标题 2 Char"/>
    <w:basedOn w:val="24"/>
    <w:link w:val="3"/>
    <w:qFormat/>
    <w:uiPriority w:val="0"/>
    <w:rPr>
      <w:rFonts w:ascii="Arial" w:hAnsi="Arial" w:eastAsia="黑体" w:cs="Times New Roman"/>
      <w:b/>
      <w:bCs/>
      <w:sz w:val="32"/>
      <w:szCs w:val="32"/>
    </w:rPr>
  </w:style>
  <w:style w:type="character" w:customStyle="1" w:styleId="31">
    <w:name w:val="标题 9 Char"/>
    <w:basedOn w:val="24"/>
    <w:link w:val="4"/>
    <w:semiHidden/>
    <w:qFormat/>
    <w:uiPriority w:val="0"/>
    <w:rPr>
      <w:rFonts w:ascii="Cambria" w:hAnsi="Cambria" w:eastAsia="宋体" w:cs="Times New Roman"/>
      <w:szCs w:val="21"/>
    </w:rPr>
  </w:style>
  <w:style w:type="character" w:customStyle="1" w:styleId="32">
    <w:name w:val="批注文字 Char"/>
    <w:basedOn w:val="24"/>
    <w:link w:val="7"/>
    <w:semiHidden/>
    <w:qFormat/>
    <w:uiPriority w:val="0"/>
    <w:rPr>
      <w:rFonts w:ascii="Times New Roman" w:hAnsi="Times New Roman" w:eastAsia="宋体" w:cs="Times New Roman"/>
      <w:szCs w:val="20"/>
    </w:rPr>
  </w:style>
  <w:style w:type="character" w:customStyle="1" w:styleId="33">
    <w:name w:val="正文文本 Char"/>
    <w:basedOn w:val="24"/>
    <w:link w:val="8"/>
    <w:qFormat/>
    <w:uiPriority w:val="0"/>
    <w:rPr>
      <w:rFonts w:ascii="Times New Roman" w:hAnsi="Times New Roman" w:eastAsia="宋体" w:cs="Times New Roman"/>
      <w:sz w:val="28"/>
      <w:szCs w:val="24"/>
    </w:rPr>
  </w:style>
  <w:style w:type="character" w:customStyle="1" w:styleId="34">
    <w:name w:val="正文文本缩进 Char"/>
    <w:basedOn w:val="24"/>
    <w:link w:val="9"/>
    <w:qFormat/>
    <w:uiPriority w:val="0"/>
    <w:rPr>
      <w:rFonts w:ascii="Times New Roman" w:hAnsi="Times New Roman" w:eastAsia="宋体" w:cs="Times New Roman"/>
      <w:szCs w:val="20"/>
    </w:rPr>
  </w:style>
  <w:style w:type="character" w:customStyle="1" w:styleId="35">
    <w:name w:val="纯文本 Char"/>
    <w:basedOn w:val="24"/>
    <w:link w:val="11"/>
    <w:qFormat/>
    <w:uiPriority w:val="0"/>
    <w:rPr>
      <w:rFonts w:ascii="宋体" w:hAnsi="Courier New" w:eastAsia="宋体" w:cs="Times New Roman"/>
      <w:kern w:val="0"/>
      <w:szCs w:val="20"/>
    </w:rPr>
  </w:style>
  <w:style w:type="character" w:customStyle="1" w:styleId="36">
    <w:name w:val="日期 Char"/>
    <w:basedOn w:val="24"/>
    <w:link w:val="12"/>
    <w:qFormat/>
    <w:uiPriority w:val="0"/>
    <w:rPr>
      <w:rFonts w:ascii="Times New Roman" w:hAnsi="Times New Roman" w:eastAsia="宋体" w:cs="Times New Roman"/>
      <w:sz w:val="28"/>
      <w:szCs w:val="20"/>
    </w:rPr>
  </w:style>
  <w:style w:type="character" w:customStyle="1" w:styleId="37">
    <w:name w:val="正文文本缩进 2 Char"/>
    <w:basedOn w:val="24"/>
    <w:link w:val="13"/>
    <w:qFormat/>
    <w:uiPriority w:val="0"/>
    <w:rPr>
      <w:rFonts w:ascii="Times New Roman" w:hAnsi="Times New Roman" w:eastAsia="宋体" w:cs="Times New Roman"/>
      <w:szCs w:val="24"/>
    </w:rPr>
  </w:style>
  <w:style w:type="character" w:customStyle="1" w:styleId="38">
    <w:name w:val="批注框文本 Char"/>
    <w:basedOn w:val="24"/>
    <w:link w:val="14"/>
    <w:semiHidden/>
    <w:qFormat/>
    <w:uiPriority w:val="0"/>
    <w:rPr>
      <w:rFonts w:ascii="Times New Roman" w:hAnsi="Times New Roman" w:eastAsia="宋体" w:cs="Times New Roman"/>
      <w:sz w:val="18"/>
      <w:szCs w:val="18"/>
    </w:rPr>
  </w:style>
  <w:style w:type="character" w:customStyle="1" w:styleId="39">
    <w:name w:val="页脚 Char"/>
    <w:basedOn w:val="24"/>
    <w:link w:val="15"/>
    <w:qFormat/>
    <w:uiPriority w:val="0"/>
    <w:rPr>
      <w:rFonts w:ascii="Times New Roman" w:hAnsi="Times New Roman" w:eastAsia="宋体" w:cs="Times New Roman"/>
      <w:sz w:val="18"/>
      <w:szCs w:val="18"/>
    </w:rPr>
  </w:style>
  <w:style w:type="character" w:customStyle="1" w:styleId="40">
    <w:name w:val="页眉 Char"/>
    <w:basedOn w:val="24"/>
    <w:link w:val="16"/>
    <w:qFormat/>
    <w:uiPriority w:val="0"/>
    <w:rPr>
      <w:rFonts w:ascii="Times New Roman" w:hAnsi="Times New Roman" w:eastAsia="宋体" w:cs="Times New Roman"/>
      <w:sz w:val="18"/>
      <w:szCs w:val="18"/>
    </w:rPr>
  </w:style>
  <w:style w:type="character" w:customStyle="1" w:styleId="41">
    <w:name w:val="正文文本 2 Char"/>
    <w:basedOn w:val="24"/>
    <w:link w:val="18"/>
    <w:qFormat/>
    <w:uiPriority w:val="0"/>
    <w:rPr>
      <w:rFonts w:ascii="Times New Roman" w:hAnsi="Times New Roman" w:eastAsia="宋体" w:cs="Times New Roman"/>
      <w:szCs w:val="20"/>
    </w:rPr>
  </w:style>
  <w:style w:type="character" w:customStyle="1" w:styleId="42">
    <w:name w:val="批注主题 Char"/>
    <w:basedOn w:val="32"/>
    <w:link w:val="20"/>
    <w:semiHidden/>
    <w:qFormat/>
    <w:uiPriority w:val="0"/>
    <w:rPr>
      <w:rFonts w:ascii="Times New Roman" w:hAnsi="Times New Roman" w:eastAsia="宋体" w:cs="Times New Roman"/>
      <w:b/>
      <w:bCs/>
      <w:szCs w:val="20"/>
    </w:rPr>
  </w:style>
  <w:style w:type="character" w:customStyle="1" w:styleId="43">
    <w:name w:val="纯文本 Char2"/>
    <w:qFormat/>
    <w:uiPriority w:val="0"/>
    <w:rPr>
      <w:rFonts w:ascii="宋体" w:hAnsi="Courier New" w:eastAsia="宋体"/>
      <w:kern w:val="2"/>
      <w:sz w:val="21"/>
      <w:lang w:val="en-US" w:eastAsia="zh-CN" w:bidi="ar-SA"/>
    </w:rPr>
  </w:style>
  <w:style w:type="paragraph" w:customStyle="1" w:styleId="44">
    <w:name w:val="样式 附件-标题2 + 行距: 固定值 20 磅"/>
    <w:basedOn w:val="1"/>
    <w:qFormat/>
    <w:uiPriority w:val="0"/>
    <w:pPr>
      <w:tabs>
        <w:tab w:val="left" w:pos="0"/>
      </w:tabs>
      <w:spacing w:line="400" w:lineRule="exact"/>
      <w:outlineLvl w:val="2"/>
    </w:pPr>
    <w:rPr>
      <w:rFonts w:eastAsia="黑体" w:cs="宋体"/>
      <w:sz w:val="24"/>
    </w:rPr>
  </w:style>
  <w:style w:type="paragraph" w:customStyle="1" w:styleId="45">
    <w:name w:val="默认段落字体 Para Char Char Char Char Char Char Char Char Char1 Char Char Char Char"/>
    <w:basedOn w:val="1"/>
    <w:qFormat/>
    <w:uiPriority w:val="0"/>
    <w:rPr>
      <w:rFonts w:ascii="Tahoma" w:hAnsi="Tahoma"/>
      <w:sz w:val="24"/>
    </w:rPr>
  </w:style>
  <w:style w:type="paragraph" w:customStyle="1" w:styleId="46">
    <w:name w:val="Char"/>
    <w:basedOn w:val="1"/>
    <w:link w:val="54"/>
    <w:qFormat/>
    <w:uiPriority w:val="0"/>
    <w:rPr>
      <w:rFonts w:ascii="仿宋_GB2312" w:eastAsia="仿宋_GB2312"/>
      <w:b/>
      <w:sz w:val="32"/>
      <w:szCs w:val="32"/>
    </w:rPr>
  </w:style>
  <w:style w:type="paragraph" w:customStyle="1" w:styleId="47">
    <w:name w:val="样式4"/>
    <w:basedOn w:val="1"/>
    <w:qFormat/>
    <w:uiPriority w:val="0"/>
    <w:pPr>
      <w:adjustRightInd w:val="0"/>
      <w:spacing w:line="400" w:lineRule="exact"/>
      <w:textAlignment w:val="baseline"/>
      <w:outlineLvl w:val="2"/>
    </w:pPr>
    <w:rPr>
      <w:rFonts w:ascii="宋体" w:hAnsi="宋体"/>
      <w:b/>
      <w:kern w:val="0"/>
      <w:szCs w:val="21"/>
    </w:rPr>
  </w:style>
  <w:style w:type="paragraph" w:customStyle="1" w:styleId="48">
    <w:name w:val="正文 1.1.1"/>
    <w:basedOn w:val="1"/>
    <w:next w:val="1"/>
    <w:qFormat/>
    <w:uiPriority w:val="0"/>
    <w:pPr>
      <w:numPr>
        <w:ilvl w:val="1"/>
        <w:numId w:val="1"/>
      </w:numPr>
      <w:tabs>
        <w:tab w:val="left" w:pos="1260"/>
      </w:tabs>
      <w:outlineLvl w:val="2"/>
    </w:pPr>
    <w:rPr>
      <w:rFonts w:hAnsi="宋体"/>
      <w:szCs w:val="22"/>
    </w:rPr>
  </w:style>
  <w:style w:type="paragraph" w:customStyle="1" w:styleId="49">
    <w:name w:val="正文空2格  1."/>
    <w:basedOn w:val="1"/>
    <w:qFormat/>
    <w:uiPriority w:val="0"/>
    <w:pPr>
      <w:ind w:firstLine="480" w:firstLineChars="200"/>
    </w:pPr>
    <w:rPr>
      <w:rFonts w:cs="宋体"/>
      <w:sz w:val="28"/>
    </w:rPr>
  </w:style>
  <w:style w:type="paragraph" w:customStyle="1" w:styleId="50">
    <w:name w:val="_Style 22"/>
    <w:basedOn w:val="1"/>
    <w:qFormat/>
    <w:uiPriority w:val="0"/>
  </w:style>
  <w:style w:type="paragraph" w:customStyle="1" w:styleId="51">
    <w:name w:val="标题1"/>
    <w:basedOn w:val="11"/>
    <w:qFormat/>
    <w:uiPriority w:val="0"/>
    <w:pPr>
      <w:widowControl w:val="0"/>
      <w:overflowPunct/>
      <w:autoSpaceDE/>
      <w:autoSpaceDN/>
      <w:adjustRightInd/>
      <w:spacing w:line="360" w:lineRule="auto"/>
      <w:jc w:val="both"/>
      <w:textAlignment w:val="auto"/>
    </w:pPr>
    <w:rPr>
      <w:b/>
      <w:kern w:val="2"/>
      <w:sz w:val="30"/>
    </w:rPr>
  </w:style>
  <w:style w:type="character" w:customStyle="1" w:styleId="52">
    <w:name w:val="纯文本 Char1"/>
    <w:qFormat/>
    <w:uiPriority w:val="0"/>
    <w:rPr>
      <w:rFonts w:ascii="宋体" w:hAnsi="Courier New" w:eastAsia="宋体"/>
      <w:sz w:val="21"/>
      <w:lang w:val="en-US" w:eastAsia="zh-CN" w:bidi="ar-SA"/>
    </w:rPr>
  </w:style>
  <w:style w:type="paragraph" w:styleId="53">
    <w:name w:val="List Paragraph"/>
    <w:basedOn w:val="1"/>
    <w:qFormat/>
    <w:uiPriority w:val="99"/>
    <w:pPr>
      <w:ind w:firstLine="420" w:firstLineChars="200"/>
    </w:pPr>
  </w:style>
  <w:style w:type="character" w:customStyle="1" w:styleId="54">
    <w:name w:val="Char Char1"/>
    <w:link w:val="46"/>
    <w:qFormat/>
    <w:locked/>
    <w:uiPriority w:val="0"/>
    <w:rPr>
      <w:rFonts w:ascii="仿宋_GB2312" w:eastAsia="仿宋_GB2312"/>
      <w:b/>
      <w:kern w:val="2"/>
      <w:sz w:val="32"/>
      <w:szCs w:val="32"/>
    </w:rPr>
  </w:style>
  <w:style w:type="character" w:customStyle="1" w:styleId="55">
    <w:name w:val="正文缩进 Char"/>
    <w:link w:val="6"/>
    <w:qFormat/>
    <w:uiPriority w:val="0"/>
    <w:rPr>
      <w:kern w:val="2"/>
      <w:sz w:val="21"/>
      <w:szCs w:val="24"/>
    </w:rPr>
  </w:style>
  <w:style w:type="character" w:customStyle="1" w:styleId="56">
    <w:name w:val="正文首行缩进 Char"/>
    <w:basedOn w:val="33"/>
    <w:link w:val="21"/>
    <w:qFormat/>
    <w:uiPriority w:val="99"/>
    <w:rPr>
      <w:kern w:val="2"/>
      <w:sz w:val="21"/>
      <w:szCs w:val="22"/>
    </w:rPr>
  </w:style>
  <w:style w:type="character" w:customStyle="1" w:styleId="57">
    <w:name w:val=" Char Char1"/>
    <w:link w:val="58"/>
    <w:qFormat/>
    <w:uiPriority w:val="0"/>
    <w:rPr>
      <w:rFonts w:ascii="Tahoma" w:hAnsi="Tahoma"/>
      <w:sz w:val="24"/>
    </w:rPr>
  </w:style>
  <w:style w:type="paragraph" w:customStyle="1" w:styleId="58">
    <w:name w:val=" Char"/>
    <w:basedOn w:val="1"/>
    <w:link w:val="57"/>
    <w:qFormat/>
    <w:uiPriority w:val="0"/>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51E34-FEEF-400B-8286-73049C00874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2342</Words>
  <Characters>13353</Characters>
  <Lines>111</Lines>
  <Paragraphs>31</Paragraphs>
  <TotalTime>7</TotalTime>
  <ScaleCrop>false</ScaleCrop>
  <LinksUpToDate>false</LinksUpToDate>
  <CharactersWithSpaces>15664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2021-07-05T03:31:00Z</dcterms:created>
  <dc:creator>pc</dc:creator>
  <cp:lastModifiedBy>呢小</cp:lastModifiedBy>
  <dcterms:modified xsi:type="dcterms:W3CDTF">2021-10-15T03:02:30Z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3FD0351C1F11489B84047AB26EA2D784</vt:lpwstr>
  </property>
</Properties>
</file>